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8B28E" w14:textId="77777777" w:rsidR="00A15FBE" w:rsidRDefault="00000000">
      <w:pPr>
        <w:pBdr>
          <w:bottom w:val="single" w:sz="18" w:space="4" w:color="1B3A5C"/>
        </w:pBdr>
        <w:spacing w:before="300" w:after="60"/>
      </w:pPr>
      <w:r>
        <w:rPr>
          <w:b/>
          <w:bCs/>
          <w:color w:val="1B3A5C"/>
          <w:sz w:val="26"/>
          <w:szCs w:val="26"/>
        </w:rPr>
        <w:t>AGRICOLA MINING CONSULTANTS PTY LTD</w:t>
      </w:r>
    </w:p>
    <w:p w14:paraId="7CE6C74D" w14:textId="77777777" w:rsidR="00A15FBE" w:rsidRDefault="00000000">
      <w:pPr>
        <w:spacing w:after="420"/>
      </w:pPr>
      <w:r>
        <w:rPr>
          <w:i/>
          <w:iCs/>
          <w:color w:val="555555"/>
          <w:sz w:val="18"/>
          <w:szCs w:val="18"/>
        </w:rPr>
        <w:t>Independent geological assessment • Mineral resource review • Technical reporting</w:t>
      </w:r>
    </w:p>
    <w:p w14:paraId="3C78CD62" w14:textId="77777777" w:rsidR="00A15FBE" w:rsidRDefault="00000000">
      <w:pPr>
        <w:spacing w:before="900" w:after="60"/>
      </w:pPr>
      <w:r>
        <w:rPr>
          <w:b/>
          <w:bCs/>
          <w:color w:val="2E75B6"/>
          <w:sz w:val="24"/>
          <w:szCs w:val="24"/>
        </w:rPr>
        <w:t>INDEPENDENT TECHNICAL OVERVIEW</w:t>
      </w:r>
    </w:p>
    <w:p w14:paraId="016BFE8C" w14:textId="77777777" w:rsidR="00A15FBE" w:rsidRDefault="00000000">
      <w:pPr>
        <w:spacing w:after="40"/>
      </w:pPr>
      <w:r>
        <w:rPr>
          <w:b/>
          <w:bCs/>
          <w:color w:val="1B3A5C"/>
          <w:sz w:val="52"/>
          <w:szCs w:val="52"/>
        </w:rPr>
        <w:t xml:space="preserve">The </w:t>
      </w:r>
      <w:proofErr w:type="spellStart"/>
      <w:r>
        <w:rPr>
          <w:b/>
          <w:bCs/>
          <w:color w:val="1B3A5C"/>
          <w:sz w:val="52"/>
          <w:szCs w:val="52"/>
        </w:rPr>
        <w:t>Akuliaruseq</w:t>
      </w:r>
      <w:proofErr w:type="spellEnd"/>
      <w:r>
        <w:rPr>
          <w:b/>
          <w:bCs/>
          <w:color w:val="1B3A5C"/>
          <w:sz w:val="52"/>
          <w:szCs w:val="52"/>
        </w:rPr>
        <w:t xml:space="preserve"> Graphite Deposit</w:t>
      </w:r>
    </w:p>
    <w:p w14:paraId="27110173" w14:textId="77777777" w:rsidR="00A15FBE" w:rsidRDefault="00000000">
      <w:pPr>
        <w:spacing w:after="40"/>
      </w:pPr>
      <w:r>
        <w:rPr>
          <w:color w:val="1B3A5C"/>
          <w:sz w:val="28"/>
          <w:szCs w:val="28"/>
        </w:rPr>
        <w:t>A high-grade flake-graphite occurrence in West Greenland</w:t>
      </w:r>
    </w:p>
    <w:p w14:paraId="52716248" w14:textId="77777777" w:rsidR="00A15FBE" w:rsidRDefault="00000000">
      <w:pPr>
        <w:spacing w:after="520"/>
      </w:pPr>
      <w:r>
        <w:rPr>
          <w:i/>
          <w:iCs/>
          <w:color w:val="555555"/>
          <w:sz w:val="24"/>
          <w:szCs w:val="24"/>
        </w:rPr>
        <w:t xml:space="preserve">Nordre </w:t>
      </w:r>
      <w:proofErr w:type="spellStart"/>
      <w:r>
        <w:rPr>
          <w:i/>
          <w:iCs/>
          <w:color w:val="555555"/>
          <w:sz w:val="24"/>
          <w:szCs w:val="24"/>
        </w:rPr>
        <w:t>Strømfjord</w:t>
      </w:r>
      <w:proofErr w:type="spellEnd"/>
      <w:r>
        <w:rPr>
          <w:i/>
          <w:iCs/>
          <w:color w:val="555555"/>
          <w:sz w:val="24"/>
          <w:szCs w:val="24"/>
        </w:rPr>
        <w:t xml:space="preserve"> region, central West Greenland</w:t>
      </w:r>
    </w:p>
    <w:p w14:paraId="62D450C3" w14:textId="77777777" w:rsidR="00A15FBE" w:rsidRDefault="00000000">
      <w:pPr>
        <w:spacing w:after="80"/>
      </w:pPr>
      <w:r>
        <w:rPr>
          <w:b/>
          <w:bCs/>
          <w:color w:val="1B3A5C"/>
          <w:sz w:val="22"/>
          <w:szCs w:val="22"/>
        </w:rPr>
        <w:t>Discussion document prepared for investor review</w:t>
      </w:r>
    </w:p>
    <w:p w14:paraId="062B40F4" w14:textId="77777777" w:rsidR="00A15FBE" w:rsidRDefault="00000000">
      <w:pPr>
        <w:spacing w:after="600"/>
      </w:pPr>
      <w:r>
        <w:rPr>
          <w:i/>
          <w:iCs/>
          <w:color w:val="B03A2E"/>
          <w:sz w:val="18"/>
          <w:szCs w:val="18"/>
        </w:rPr>
        <w:t>Historic, non-compliant resource estimates only — not a Public Report under JORC, S-K 1300, NI 43-101 or VALMIN</w:t>
      </w:r>
    </w:p>
    <w:tbl>
      <w:tblPr>
        <w:tblW w:w="9360" w:type="dxa"/>
        <w:tblBorders>
          <w:insideH w:val="single" w:sz="1" w:space="0" w:color="D6E4F0"/>
        </w:tblBorders>
        <w:tblCellMar>
          <w:left w:w="10" w:type="dxa"/>
          <w:right w:w="10" w:type="dxa"/>
        </w:tblCellMar>
        <w:tblLook w:val="0000" w:firstRow="0" w:lastRow="0" w:firstColumn="0" w:lastColumn="0" w:noHBand="0" w:noVBand="0"/>
      </w:tblPr>
      <w:tblGrid>
        <w:gridCol w:w="2600"/>
        <w:gridCol w:w="6760"/>
      </w:tblGrid>
      <w:tr w:rsidR="00A15FBE" w14:paraId="19F56AEB" w14:textId="77777777">
        <w:tblPrEx>
          <w:tblCellMar>
            <w:top w:w="0" w:type="dxa"/>
            <w:bottom w:w="0" w:type="dxa"/>
          </w:tblCellMar>
        </w:tblPrEx>
        <w:tc>
          <w:tcPr>
            <w:tcW w:w="2600" w:type="dxa"/>
            <w:tcMar>
              <w:top w:w="60" w:type="dxa"/>
              <w:left w:w="0" w:type="dxa"/>
              <w:bottom w:w="60" w:type="dxa"/>
              <w:right w:w="120" w:type="dxa"/>
            </w:tcMar>
          </w:tcPr>
          <w:p w14:paraId="44678AA3" w14:textId="77777777" w:rsidR="00A15FBE" w:rsidRDefault="00000000">
            <w:r>
              <w:rPr>
                <w:b/>
                <w:bCs/>
                <w:color w:val="1B3A5C"/>
                <w:sz w:val="19"/>
                <w:szCs w:val="19"/>
              </w:rPr>
              <w:t>Prepared by</w:t>
            </w:r>
          </w:p>
        </w:tc>
        <w:tc>
          <w:tcPr>
            <w:tcW w:w="6760" w:type="dxa"/>
            <w:tcMar>
              <w:top w:w="60" w:type="dxa"/>
              <w:left w:w="0" w:type="dxa"/>
              <w:bottom w:w="60" w:type="dxa"/>
              <w:right w:w="120" w:type="dxa"/>
            </w:tcMar>
          </w:tcPr>
          <w:p w14:paraId="533E5951" w14:textId="77777777" w:rsidR="00A15FBE" w:rsidRDefault="00000000">
            <w:r>
              <w:rPr>
                <w:sz w:val="19"/>
                <w:szCs w:val="19"/>
              </w:rPr>
              <w:t>Malcolm Castle, MAusIMM (CP Geo), Principal Consultant</w:t>
            </w:r>
          </w:p>
        </w:tc>
      </w:tr>
      <w:tr w:rsidR="00A15FBE" w14:paraId="3B5C09A4" w14:textId="77777777">
        <w:tblPrEx>
          <w:tblCellMar>
            <w:top w:w="0" w:type="dxa"/>
            <w:bottom w:w="0" w:type="dxa"/>
          </w:tblCellMar>
        </w:tblPrEx>
        <w:tc>
          <w:tcPr>
            <w:tcW w:w="2600" w:type="dxa"/>
            <w:tcMar>
              <w:top w:w="60" w:type="dxa"/>
              <w:left w:w="0" w:type="dxa"/>
              <w:bottom w:w="60" w:type="dxa"/>
              <w:right w:w="120" w:type="dxa"/>
            </w:tcMar>
          </w:tcPr>
          <w:p w14:paraId="771381D3" w14:textId="77777777" w:rsidR="00A15FBE" w:rsidRDefault="00000000">
            <w:r>
              <w:rPr>
                <w:b/>
                <w:bCs/>
                <w:color w:val="1B3A5C"/>
                <w:sz w:val="19"/>
                <w:szCs w:val="19"/>
              </w:rPr>
              <w:t>For</w:t>
            </w:r>
          </w:p>
        </w:tc>
        <w:tc>
          <w:tcPr>
            <w:tcW w:w="6760" w:type="dxa"/>
            <w:tcMar>
              <w:top w:w="60" w:type="dxa"/>
              <w:left w:w="0" w:type="dxa"/>
              <w:bottom w:w="60" w:type="dxa"/>
              <w:right w:w="120" w:type="dxa"/>
            </w:tcMar>
          </w:tcPr>
          <w:p w14:paraId="42686E4B" w14:textId="77777777" w:rsidR="00A15FBE" w:rsidRDefault="00000000">
            <w:r>
              <w:rPr>
                <w:sz w:val="19"/>
                <w:szCs w:val="19"/>
              </w:rPr>
              <w:t>Agricola Mining Consultants Pty Ltd, South Perth, Western Australia</w:t>
            </w:r>
          </w:p>
        </w:tc>
      </w:tr>
      <w:tr w:rsidR="00A15FBE" w14:paraId="229E43B4" w14:textId="77777777">
        <w:tblPrEx>
          <w:tblCellMar>
            <w:top w:w="0" w:type="dxa"/>
            <w:bottom w:w="0" w:type="dxa"/>
          </w:tblCellMar>
        </w:tblPrEx>
        <w:tc>
          <w:tcPr>
            <w:tcW w:w="2600" w:type="dxa"/>
            <w:tcMar>
              <w:top w:w="60" w:type="dxa"/>
              <w:left w:w="0" w:type="dxa"/>
              <w:bottom w:w="60" w:type="dxa"/>
              <w:right w:w="120" w:type="dxa"/>
            </w:tcMar>
          </w:tcPr>
          <w:p w14:paraId="54EA9C9D" w14:textId="77777777" w:rsidR="00A15FBE" w:rsidRDefault="00000000">
            <w:r>
              <w:rPr>
                <w:b/>
                <w:bCs/>
                <w:color w:val="1B3A5C"/>
                <w:sz w:val="19"/>
                <w:szCs w:val="19"/>
              </w:rPr>
              <w:t>Commodity</w:t>
            </w:r>
          </w:p>
        </w:tc>
        <w:tc>
          <w:tcPr>
            <w:tcW w:w="6760" w:type="dxa"/>
            <w:tcMar>
              <w:top w:w="60" w:type="dxa"/>
              <w:left w:w="0" w:type="dxa"/>
              <w:bottom w:w="60" w:type="dxa"/>
              <w:right w:w="120" w:type="dxa"/>
            </w:tcMar>
          </w:tcPr>
          <w:p w14:paraId="47870A2D" w14:textId="77777777" w:rsidR="00A15FBE" w:rsidRDefault="00000000">
            <w:r>
              <w:rPr>
                <w:sz w:val="19"/>
                <w:szCs w:val="19"/>
              </w:rPr>
              <w:t>Flake graphite (Cg) — battery-anode and industrial markets</w:t>
            </w:r>
          </w:p>
        </w:tc>
      </w:tr>
      <w:tr w:rsidR="00A15FBE" w14:paraId="7925A849" w14:textId="77777777">
        <w:tblPrEx>
          <w:tblCellMar>
            <w:top w:w="0" w:type="dxa"/>
            <w:bottom w:w="0" w:type="dxa"/>
          </w:tblCellMar>
        </w:tblPrEx>
        <w:tc>
          <w:tcPr>
            <w:tcW w:w="2600" w:type="dxa"/>
            <w:tcMar>
              <w:top w:w="60" w:type="dxa"/>
              <w:left w:w="0" w:type="dxa"/>
              <w:bottom w:w="60" w:type="dxa"/>
              <w:right w:w="120" w:type="dxa"/>
            </w:tcMar>
          </w:tcPr>
          <w:p w14:paraId="2C9824B0" w14:textId="77777777" w:rsidR="00A15FBE" w:rsidRDefault="00000000">
            <w:r>
              <w:rPr>
                <w:b/>
                <w:bCs/>
                <w:color w:val="1B3A5C"/>
                <w:sz w:val="19"/>
                <w:szCs w:val="19"/>
              </w:rPr>
              <w:t>Status</w:t>
            </w:r>
          </w:p>
        </w:tc>
        <w:tc>
          <w:tcPr>
            <w:tcW w:w="6760" w:type="dxa"/>
            <w:tcMar>
              <w:top w:w="60" w:type="dxa"/>
              <w:left w:w="0" w:type="dxa"/>
              <w:bottom w:w="60" w:type="dxa"/>
              <w:right w:w="120" w:type="dxa"/>
            </w:tcMar>
          </w:tcPr>
          <w:p w14:paraId="63C434AC" w14:textId="77777777" w:rsidR="00A15FBE" w:rsidRDefault="00000000">
            <w:r>
              <w:rPr>
                <w:sz w:val="19"/>
                <w:szCs w:val="19"/>
              </w:rPr>
              <w:t>Advanced exploration — historic resource; no current compliant estimate</w:t>
            </w:r>
          </w:p>
        </w:tc>
      </w:tr>
      <w:tr w:rsidR="00A15FBE" w14:paraId="26C90A8D" w14:textId="77777777">
        <w:tblPrEx>
          <w:tblCellMar>
            <w:top w:w="0" w:type="dxa"/>
            <w:bottom w:w="0" w:type="dxa"/>
          </w:tblCellMar>
        </w:tblPrEx>
        <w:tc>
          <w:tcPr>
            <w:tcW w:w="2600" w:type="dxa"/>
            <w:tcMar>
              <w:top w:w="60" w:type="dxa"/>
              <w:left w:w="0" w:type="dxa"/>
              <w:bottom w:w="60" w:type="dxa"/>
              <w:right w:w="120" w:type="dxa"/>
            </w:tcMar>
          </w:tcPr>
          <w:p w14:paraId="34B5F7C0" w14:textId="77777777" w:rsidR="00A15FBE" w:rsidRDefault="00000000">
            <w:r>
              <w:rPr>
                <w:b/>
                <w:bCs/>
                <w:color w:val="1B3A5C"/>
                <w:sz w:val="19"/>
                <w:szCs w:val="19"/>
              </w:rPr>
              <w:t>Date</w:t>
            </w:r>
          </w:p>
        </w:tc>
        <w:tc>
          <w:tcPr>
            <w:tcW w:w="6760" w:type="dxa"/>
            <w:tcMar>
              <w:top w:w="60" w:type="dxa"/>
              <w:left w:w="0" w:type="dxa"/>
              <w:bottom w:w="60" w:type="dxa"/>
              <w:right w:w="120" w:type="dxa"/>
            </w:tcMar>
          </w:tcPr>
          <w:p w14:paraId="43EE448F" w14:textId="77777777" w:rsidR="00A15FBE" w:rsidRDefault="00000000">
            <w:r>
              <w:rPr>
                <w:sz w:val="19"/>
                <w:szCs w:val="19"/>
              </w:rPr>
              <w:t>14 June 2026</w:t>
            </w:r>
          </w:p>
        </w:tc>
      </w:tr>
      <w:tr w:rsidR="00A15FBE" w14:paraId="2607AE7E" w14:textId="77777777">
        <w:tblPrEx>
          <w:tblCellMar>
            <w:top w:w="0" w:type="dxa"/>
            <w:bottom w:w="0" w:type="dxa"/>
          </w:tblCellMar>
        </w:tblPrEx>
        <w:tc>
          <w:tcPr>
            <w:tcW w:w="2600" w:type="dxa"/>
            <w:tcMar>
              <w:top w:w="60" w:type="dxa"/>
              <w:left w:w="0" w:type="dxa"/>
              <w:bottom w:w="60" w:type="dxa"/>
              <w:right w:w="120" w:type="dxa"/>
            </w:tcMar>
          </w:tcPr>
          <w:p w14:paraId="09A68C95" w14:textId="77777777" w:rsidR="00A15FBE" w:rsidRDefault="00000000">
            <w:r>
              <w:rPr>
                <w:b/>
                <w:bCs/>
                <w:color w:val="1B3A5C"/>
                <w:sz w:val="19"/>
                <w:szCs w:val="19"/>
              </w:rPr>
              <w:t>Version</w:t>
            </w:r>
          </w:p>
        </w:tc>
        <w:tc>
          <w:tcPr>
            <w:tcW w:w="6760" w:type="dxa"/>
            <w:tcMar>
              <w:top w:w="60" w:type="dxa"/>
              <w:left w:w="0" w:type="dxa"/>
              <w:bottom w:w="60" w:type="dxa"/>
              <w:right w:w="120" w:type="dxa"/>
            </w:tcMar>
          </w:tcPr>
          <w:p w14:paraId="556BDCEF" w14:textId="77777777" w:rsidR="00A15FBE" w:rsidRDefault="00000000">
            <w:r>
              <w:rPr>
                <w:sz w:val="19"/>
                <w:szCs w:val="19"/>
              </w:rPr>
              <w:t>Draft 1.0 — for discussion</w:t>
            </w:r>
          </w:p>
        </w:tc>
      </w:tr>
    </w:tbl>
    <w:p w14:paraId="0FBDE04F" w14:textId="77777777" w:rsidR="00A15FBE" w:rsidRDefault="00000000">
      <w:r>
        <w:br w:type="page"/>
      </w:r>
    </w:p>
    <w:p w14:paraId="0252E396" w14:textId="77777777" w:rsidR="00A15FBE" w:rsidRDefault="00000000">
      <w:pPr>
        <w:pStyle w:val="Heading1"/>
      </w:pPr>
      <w:r>
        <w:lastRenderedPageBreak/>
        <w:t>Important Notice and Basis of Preparation</w:t>
      </w:r>
    </w:p>
    <w:tbl>
      <w:tblPr>
        <w:tblW w:w="9360" w:type="dxa"/>
        <w:tblBorders>
          <w:top w:val="single" w:sz="2" w:space="0" w:color="C98A00"/>
          <w:left w:val="single" w:sz="24" w:space="0" w:color="C98A00"/>
          <w:bottom w:val="single" w:sz="2" w:space="0" w:color="C98A00"/>
          <w:right w:val="single" w:sz="2" w:space="0" w:color="C98A00"/>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15FBE" w14:paraId="6EF3974B" w14:textId="77777777">
        <w:tblPrEx>
          <w:tblCellMar>
            <w:top w:w="0" w:type="dxa"/>
            <w:bottom w:w="0" w:type="dxa"/>
          </w:tblCellMar>
        </w:tblPrEx>
        <w:tc>
          <w:tcPr>
            <w:tcW w:w="9360" w:type="dxa"/>
            <w:shd w:val="clear" w:color="auto" w:fill="FCEFD2"/>
            <w:tcMar>
              <w:top w:w="140" w:type="dxa"/>
              <w:left w:w="200" w:type="dxa"/>
              <w:bottom w:w="140" w:type="dxa"/>
              <w:right w:w="160" w:type="dxa"/>
            </w:tcMar>
          </w:tcPr>
          <w:p w14:paraId="40F19D67" w14:textId="77777777" w:rsidR="00A15FBE" w:rsidRDefault="00000000">
            <w:pPr>
              <w:spacing w:after="80"/>
            </w:pPr>
            <w:r>
              <w:rPr>
                <w:b/>
                <w:bCs/>
                <w:color w:val="C98A00"/>
                <w:sz w:val="22"/>
                <w:szCs w:val="22"/>
              </w:rPr>
              <w:t>Please read before relying on this document</w:t>
            </w:r>
          </w:p>
          <w:p w14:paraId="10303CD5" w14:textId="77777777" w:rsidR="00A15FBE" w:rsidRDefault="00000000">
            <w:pPr>
              <w:spacing w:after="80" w:line="268" w:lineRule="auto"/>
              <w:jc w:val="both"/>
            </w:pPr>
            <w:r>
              <w:rPr>
                <w:b/>
                <w:bCs/>
              </w:rPr>
              <w:t xml:space="preserve">Purpose and status. </w:t>
            </w:r>
            <w:r>
              <w:t xml:space="preserve">This document has been prepared by Agricola Mining Consultants Pty Ltd as an internal discussion paper to support preliminary conversations with prospective investors regarding the </w:t>
            </w:r>
            <w:proofErr w:type="spellStart"/>
            <w:r>
              <w:t>Akuliaruseq</w:t>
            </w:r>
            <w:proofErr w:type="spellEnd"/>
            <w:r>
              <w:t xml:space="preserve"> graphite occurrence in the Nordre </w:t>
            </w:r>
            <w:proofErr w:type="spellStart"/>
            <w:r>
              <w:t>Strømfjord</w:t>
            </w:r>
            <w:proofErr w:type="spellEnd"/>
            <w:r>
              <w:t xml:space="preserve"> region of central West Greenland. It is a high-level technical overview only.</w:t>
            </w:r>
          </w:p>
          <w:p w14:paraId="259A7BA4" w14:textId="77777777" w:rsidR="00A15FBE" w:rsidRDefault="00000000">
            <w:pPr>
              <w:spacing w:after="80" w:line="268" w:lineRule="auto"/>
              <w:jc w:val="both"/>
            </w:pPr>
            <w:r>
              <w:rPr>
                <w:b/>
                <w:bCs/>
              </w:rPr>
              <w:t xml:space="preserve">Not a Public Report. </w:t>
            </w:r>
            <w:r>
              <w:t>This is not a Public Report and is not an Independent Technical Report, Competent Person’s Report or Qualified Person’s report under the JORC Code (2012), S-K 1300, NI 43-101 or the VALMIN Code (2015). No economic, valuation or investment recommendation is made or implied.</w:t>
            </w:r>
          </w:p>
          <w:p w14:paraId="32860843" w14:textId="77777777" w:rsidR="00A15FBE" w:rsidRDefault="00000000">
            <w:pPr>
              <w:spacing w:after="80" w:line="268" w:lineRule="auto"/>
              <w:jc w:val="both"/>
            </w:pPr>
            <w:r>
              <w:rPr>
                <w:b/>
                <w:bCs/>
              </w:rPr>
              <w:t xml:space="preserve">Historic estimates only. </w:t>
            </w:r>
            <w:r>
              <w:t>Every resource figure cited here is a historic estimate prepared before modern reporting codes and quality-control standards existed. None is a current Mineral Resource. A Competent/Qualified Person has not done sufficient work to classify them as current, and they should not be relied upon. They are quoted only to convey the scale of past work.</w:t>
            </w:r>
          </w:p>
          <w:p w14:paraId="5AF7C955" w14:textId="77777777" w:rsidR="00A15FBE" w:rsidRDefault="00000000">
            <w:pPr>
              <w:spacing w:line="268" w:lineRule="auto"/>
              <w:jc w:val="both"/>
            </w:pPr>
            <w:r>
              <w:rPr>
                <w:b/>
                <w:bCs/>
              </w:rPr>
              <w:t xml:space="preserve">Sources. </w:t>
            </w:r>
            <w:r>
              <w:t>Technical content derives from the GEUS review by Bondam (1992, Open File 92/6), the GEUS Geology and Ore review by Thrane &amp; Kalvig (2019), and a 2013 corporate presentation by 21st North. Agricola has not visited the site, collected or verified any sample, or independently confirmed any assay, resource figure or mineral right.</w:t>
            </w:r>
          </w:p>
        </w:tc>
      </w:tr>
    </w:tbl>
    <w:p w14:paraId="291E40DF" w14:textId="77777777" w:rsidR="00A15FBE" w:rsidRDefault="00000000">
      <w:pPr>
        <w:pStyle w:val="Heading1"/>
      </w:pPr>
      <w:r>
        <w:t>Contents</w:t>
      </w:r>
    </w:p>
    <w:sdt>
      <w:sdtPr>
        <w:alias w:val="Contents"/>
        <w:id w:val="-1588064907"/>
      </w:sdtPr>
      <w:sdtContent>
        <w:p w14:paraId="08AB6A1B" w14:textId="77777777" w:rsidR="00A15FBE" w:rsidRDefault="00000000">
          <w:r>
            <w:fldChar w:fldCharType="begin"/>
          </w:r>
          <w:r>
            <w:instrText>TOC \h \o "1-2"</w:instrText>
          </w:r>
          <w:r>
            <w:fldChar w:fldCharType="separate"/>
          </w:r>
        </w:p>
        <w:p w14:paraId="33123F0A" w14:textId="77777777" w:rsidR="00A15FBE" w:rsidRDefault="00000000">
          <w:r>
            <w:fldChar w:fldCharType="end"/>
          </w:r>
        </w:p>
      </w:sdtContent>
    </w:sdt>
    <w:p w14:paraId="1F934B79" w14:textId="77777777" w:rsidR="00A15FBE" w:rsidRDefault="00000000">
      <w:pPr>
        <w:pStyle w:val="Heading1"/>
      </w:pPr>
      <w:r>
        <w:t>1. Executive Summary</w:t>
      </w:r>
    </w:p>
    <w:p w14:paraId="70C323F1" w14:textId="77777777" w:rsidR="00A15FBE" w:rsidRDefault="00000000">
      <w:pPr>
        <w:spacing w:after="140" w:line="276" w:lineRule="auto"/>
        <w:jc w:val="both"/>
      </w:pPr>
      <w:proofErr w:type="spellStart"/>
      <w:r>
        <w:t>Akuliaruseq</w:t>
      </w:r>
      <w:proofErr w:type="spellEnd"/>
      <w:r>
        <w:t xml:space="preserve"> is, by a clear margin, the </w:t>
      </w:r>
      <w:r>
        <w:rPr>
          <w:b/>
          <w:bCs/>
        </w:rPr>
        <w:t>most thoroughly explored graphite occurrence in Greenland</w:t>
      </w:r>
      <w:r>
        <w:t xml:space="preserve">. Unlike the grassroots prospects that dominate the island’s graphite inventory, </w:t>
      </w:r>
      <w:proofErr w:type="spellStart"/>
      <w:r>
        <w:t>Akuliaruseq</w:t>
      </w:r>
      <w:proofErr w:type="spellEnd"/>
      <w:r>
        <w:t xml:space="preserve"> has a genuine work history: it was discovered in 1808, quarried intermittently in the early twentieth century, and systematically drilled in 1982–83 by Kryolitselskabet Øresund A/S, who completed 124 holes for 5,705 m and supported the drilling with ground geophysics and pilot-plant metallurgy. That places it well ahead of most Arctic graphite plays on the de-risking curve.</w:t>
      </w:r>
    </w:p>
    <w:p w14:paraId="0946BD3B" w14:textId="77777777" w:rsidR="00A15FBE" w:rsidRDefault="00000000">
      <w:pPr>
        <w:spacing w:after="140" w:line="276" w:lineRule="auto"/>
        <w:jc w:val="both"/>
      </w:pPr>
      <w:r>
        <w:t xml:space="preserve">The occurrence is a coastal, superbly exposed graphite-schist sequence traceable for around 7 km along strike, hosted in upper-amphibolite-facies supracrustal rocks of the ~1.85 Ga </w:t>
      </w:r>
      <w:proofErr w:type="spellStart"/>
      <w:r>
        <w:t>Nagssugtoqidian</w:t>
      </w:r>
      <w:proofErr w:type="spellEnd"/>
      <w:r>
        <w:t xml:space="preserve"> orogen. Mineralisation comes in two styles: lower-grade disseminated flake (typically 6–8% graphitic carbon) and higher-grade structurally hosted zones (20–24%) in deformed and </w:t>
      </w:r>
      <w:proofErr w:type="spellStart"/>
      <w:r>
        <w:t>mylonitised</w:t>
      </w:r>
      <w:proofErr w:type="spellEnd"/>
      <w:r>
        <w:t xml:space="preserve"> parts of the sequence. Historic metallurgy is encouraging: pilot-scale flotation produced concentrates of around 90–94% carbon, with an attractive coarse-flake fraction.</w:t>
      </w:r>
    </w:p>
    <w:p w14:paraId="79D62A77" w14:textId="77777777" w:rsidR="00A15FBE" w:rsidRDefault="00000000">
      <w:pPr>
        <w:spacing w:after="140" w:line="276" w:lineRule="auto"/>
        <w:jc w:val="both"/>
      </w:pPr>
      <w:r>
        <w:t xml:space="preserve">There are, however, three issues an investor must weigh from the outset, and this report does not soften them. First, </w:t>
      </w:r>
      <w:r>
        <w:rPr>
          <w:b/>
          <w:bCs/>
        </w:rPr>
        <w:t>the resource numbers are historic, non-compliant, and inconsistent</w:t>
      </w:r>
      <w:r>
        <w:t xml:space="preserve"> — a 5.34 Mt @ 9.5% statement and a 12.6 Mt @ 6.3% statement both circulate, and neither is a current Mineral Resource. Second, the historic grades were largely measured by </w:t>
      </w:r>
      <w:r>
        <w:rPr>
          <w:b/>
          <w:bCs/>
        </w:rPr>
        <w:t>loss on ignition</w:t>
      </w:r>
      <w:r>
        <w:t xml:space="preserve">, which overstates </w:t>
      </w:r>
      <w:r>
        <w:lastRenderedPageBreak/>
        <w:t xml:space="preserve">true graphitic carbon in this rock. Third, the schists are </w:t>
      </w:r>
      <w:r>
        <w:rPr>
          <w:b/>
          <w:bCs/>
        </w:rPr>
        <w:t>sulphide-rich</w:t>
      </w:r>
      <w:r>
        <w:t>, which complicates processing and runs against the market’s current strong preference for low-sulphur flake.</w:t>
      </w:r>
    </w:p>
    <w:p w14:paraId="2828139D" w14:textId="77777777" w:rsidR="00A15FBE" w:rsidRDefault="00000000">
      <w:pPr>
        <w:spacing w:after="140" w:line="276" w:lineRule="auto"/>
        <w:jc w:val="both"/>
      </w:pPr>
      <w:r>
        <w:t xml:space="preserve">The honest framing for investors is that </w:t>
      </w:r>
      <w:proofErr w:type="spellStart"/>
      <w:r>
        <w:t>Akuliaruseq</w:t>
      </w:r>
      <w:proofErr w:type="spellEnd"/>
      <w:r>
        <w:t xml:space="preserve"> is a </w:t>
      </w:r>
      <w:r>
        <w:rPr>
          <w:b/>
          <w:bCs/>
        </w:rPr>
        <w:t>credible, drill-tested flake-graphite target with real metallurgical encouragement, whose historic data now need to be converted into a code-compliant resource and a modern metallurgical flowsheet</w:t>
      </w:r>
      <w:r>
        <w:t xml:space="preserve"> before any value can be ascribed. It is a re-evaluation and verification opportunity, not a development-ready asset.</w:t>
      </w:r>
    </w:p>
    <w:p w14:paraId="24853598" w14:textId="77777777" w:rsidR="00A15FBE" w:rsidRDefault="00000000">
      <w:pPr>
        <w:pStyle w:val="Heading3"/>
      </w:pPr>
      <w:r>
        <w:t>Snapshot</w:t>
      </w: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000" w:firstRow="0" w:lastRow="0" w:firstColumn="0" w:lastColumn="0" w:noHBand="0" w:noVBand="0"/>
      </w:tblPr>
      <w:tblGrid>
        <w:gridCol w:w="2900"/>
        <w:gridCol w:w="6460"/>
      </w:tblGrid>
      <w:tr w:rsidR="00A15FBE" w14:paraId="45D23180" w14:textId="77777777">
        <w:tblPrEx>
          <w:tblCellMar>
            <w:top w:w="0" w:type="dxa"/>
            <w:bottom w:w="0" w:type="dxa"/>
          </w:tblCellMar>
        </w:tblPrEx>
        <w:trPr>
          <w:tblHeader/>
        </w:trPr>
        <w:tc>
          <w:tcPr>
            <w:tcW w:w="2900" w:type="dxa"/>
            <w:shd w:val="clear" w:color="auto" w:fill="1B3A5C"/>
            <w:tcMar>
              <w:top w:w="70" w:type="dxa"/>
              <w:left w:w="110" w:type="dxa"/>
              <w:bottom w:w="70" w:type="dxa"/>
              <w:right w:w="110" w:type="dxa"/>
            </w:tcMar>
            <w:vAlign w:val="center"/>
          </w:tcPr>
          <w:p w14:paraId="2565CD9B" w14:textId="77777777" w:rsidR="00A15FBE" w:rsidRDefault="00000000">
            <w:r>
              <w:rPr>
                <w:b/>
                <w:bCs/>
                <w:color w:val="FFFFFF"/>
                <w:sz w:val="19"/>
                <w:szCs w:val="19"/>
              </w:rPr>
              <w:t>Item</w:t>
            </w:r>
          </w:p>
        </w:tc>
        <w:tc>
          <w:tcPr>
            <w:tcW w:w="6460" w:type="dxa"/>
            <w:shd w:val="clear" w:color="auto" w:fill="1B3A5C"/>
            <w:tcMar>
              <w:top w:w="70" w:type="dxa"/>
              <w:left w:w="110" w:type="dxa"/>
              <w:bottom w:w="70" w:type="dxa"/>
              <w:right w:w="110" w:type="dxa"/>
            </w:tcMar>
            <w:vAlign w:val="center"/>
          </w:tcPr>
          <w:p w14:paraId="4D8D6E6D" w14:textId="77777777" w:rsidR="00A15FBE" w:rsidRDefault="00000000">
            <w:r>
              <w:rPr>
                <w:b/>
                <w:bCs/>
                <w:color w:val="FFFFFF"/>
                <w:sz w:val="19"/>
                <w:szCs w:val="19"/>
              </w:rPr>
              <w:t>Summary position</w:t>
            </w:r>
          </w:p>
        </w:tc>
      </w:tr>
      <w:tr w:rsidR="00A15FBE" w14:paraId="0ED5E770" w14:textId="77777777">
        <w:tblPrEx>
          <w:tblCellMar>
            <w:top w:w="0" w:type="dxa"/>
            <w:bottom w:w="0" w:type="dxa"/>
          </w:tblCellMar>
        </w:tblPrEx>
        <w:tc>
          <w:tcPr>
            <w:tcW w:w="2900" w:type="dxa"/>
            <w:shd w:val="clear" w:color="auto" w:fill="FFFFFF"/>
            <w:tcMar>
              <w:top w:w="60" w:type="dxa"/>
              <w:left w:w="110" w:type="dxa"/>
              <w:bottom w:w="60" w:type="dxa"/>
              <w:right w:w="110" w:type="dxa"/>
            </w:tcMar>
            <w:vAlign w:val="center"/>
          </w:tcPr>
          <w:p w14:paraId="2BC1D68A" w14:textId="77777777" w:rsidR="00A15FBE" w:rsidRDefault="00000000">
            <w:pPr>
              <w:spacing w:line="260" w:lineRule="auto"/>
            </w:pPr>
            <w:r>
              <w:rPr>
                <w:sz w:val="19"/>
                <w:szCs w:val="19"/>
              </w:rPr>
              <w:t>Commodity</w:t>
            </w:r>
          </w:p>
        </w:tc>
        <w:tc>
          <w:tcPr>
            <w:tcW w:w="6460" w:type="dxa"/>
            <w:shd w:val="clear" w:color="auto" w:fill="FFFFFF"/>
            <w:tcMar>
              <w:top w:w="60" w:type="dxa"/>
              <w:left w:w="110" w:type="dxa"/>
              <w:bottom w:w="60" w:type="dxa"/>
              <w:right w:w="110" w:type="dxa"/>
            </w:tcMar>
            <w:vAlign w:val="center"/>
          </w:tcPr>
          <w:p w14:paraId="46503A35" w14:textId="77777777" w:rsidR="00A15FBE" w:rsidRDefault="00000000">
            <w:pPr>
              <w:spacing w:line="260" w:lineRule="auto"/>
            </w:pPr>
            <w:r>
              <w:rPr>
                <w:sz w:val="19"/>
                <w:szCs w:val="19"/>
              </w:rPr>
              <w:t>Flake graphite (natural crystalline)</w:t>
            </w:r>
          </w:p>
        </w:tc>
      </w:tr>
      <w:tr w:rsidR="00A15FBE" w14:paraId="5700890D" w14:textId="77777777">
        <w:tblPrEx>
          <w:tblCellMar>
            <w:top w:w="0" w:type="dxa"/>
            <w:bottom w:w="0" w:type="dxa"/>
          </w:tblCellMar>
        </w:tblPrEx>
        <w:tc>
          <w:tcPr>
            <w:tcW w:w="2900" w:type="dxa"/>
            <w:shd w:val="clear" w:color="auto" w:fill="EEF3F9"/>
            <w:tcMar>
              <w:top w:w="60" w:type="dxa"/>
              <w:left w:w="110" w:type="dxa"/>
              <w:bottom w:w="60" w:type="dxa"/>
              <w:right w:w="110" w:type="dxa"/>
            </w:tcMar>
            <w:vAlign w:val="center"/>
          </w:tcPr>
          <w:p w14:paraId="3F1C618B" w14:textId="77777777" w:rsidR="00A15FBE" w:rsidRDefault="00000000">
            <w:pPr>
              <w:spacing w:line="260" w:lineRule="auto"/>
            </w:pPr>
            <w:r>
              <w:rPr>
                <w:sz w:val="19"/>
                <w:szCs w:val="19"/>
              </w:rPr>
              <w:t>Location</w:t>
            </w:r>
          </w:p>
        </w:tc>
        <w:tc>
          <w:tcPr>
            <w:tcW w:w="6460" w:type="dxa"/>
            <w:shd w:val="clear" w:color="auto" w:fill="EEF3F9"/>
            <w:tcMar>
              <w:top w:w="60" w:type="dxa"/>
              <w:left w:w="110" w:type="dxa"/>
              <w:bottom w:w="60" w:type="dxa"/>
              <w:right w:w="110" w:type="dxa"/>
            </w:tcMar>
            <w:vAlign w:val="center"/>
          </w:tcPr>
          <w:p w14:paraId="3ED6F1A1" w14:textId="77777777" w:rsidR="00A15FBE" w:rsidRDefault="00000000">
            <w:pPr>
              <w:spacing w:line="260" w:lineRule="auto"/>
            </w:pPr>
            <w:proofErr w:type="spellStart"/>
            <w:r>
              <w:rPr>
                <w:sz w:val="19"/>
                <w:szCs w:val="19"/>
              </w:rPr>
              <w:t>Akuliaruseq</w:t>
            </w:r>
            <w:proofErr w:type="spellEnd"/>
            <w:r>
              <w:rPr>
                <w:sz w:val="19"/>
                <w:szCs w:val="19"/>
              </w:rPr>
              <w:t xml:space="preserve"> peninsula, ~90 km N of Sisimiut, central West Greenland</w:t>
            </w:r>
          </w:p>
        </w:tc>
      </w:tr>
      <w:tr w:rsidR="00A15FBE" w14:paraId="3900B4E8" w14:textId="77777777">
        <w:tblPrEx>
          <w:tblCellMar>
            <w:top w:w="0" w:type="dxa"/>
            <w:bottom w:w="0" w:type="dxa"/>
          </w:tblCellMar>
        </w:tblPrEx>
        <w:tc>
          <w:tcPr>
            <w:tcW w:w="2900" w:type="dxa"/>
            <w:shd w:val="clear" w:color="auto" w:fill="FFFFFF"/>
            <w:tcMar>
              <w:top w:w="60" w:type="dxa"/>
              <w:left w:w="110" w:type="dxa"/>
              <w:bottom w:w="60" w:type="dxa"/>
              <w:right w:w="110" w:type="dxa"/>
            </w:tcMar>
            <w:vAlign w:val="center"/>
          </w:tcPr>
          <w:p w14:paraId="4A969036" w14:textId="77777777" w:rsidR="00A15FBE" w:rsidRDefault="00000000">
            <w:pPr>
              <w:spacing w:line="260" w:lineRule="auto"/>
            </w:pPr>
            <w:r>
              <w:rPr>
                <w:sz w:val="19"/>
                <w:szCs w:val="19"/>
              </w:rPr>
              <w:t>Coordinates</w:t>
            </w:r>
          </w:p>
        </w:tc>
        <w:tc>
          <w:tcPr>
            <w:tcW w:w="6460" w:type="dxa"/>
            <w:shd w:val="clear" w:color="auto" w:fill="FFFFFF"/>
            <w:tcMar>
              <w:top w:w="60" w:type="dxa"/>
              <w:left w:w="110" w:type="dxa"/>
              <w:bottom w:w="60" w:type="dxa"/>
              <w:right w:w="110" w:type="dxa"/>
            </w:tcMar>
            <w:vAlign w:val="center"/>
          </w:tcPr>
          <w:p w14:paraId="0D275551" w14:textId="77777777" w:rsidR="00A15FBE" w:rsidRDefault="00000000">
            <w:pPr>
              <w:spacing w:line="260" w:lineRule="auto"/>
            </w:pPr>
            <w:r>
              <w:rPr>
                <w:sz w:val="19"/>
                <w:szCs w:val="19"/>
              </w:rPr>
              <w:t>~67°37′30″N, 51°45′00″W (formerly “</w:t>
            </w:r>
            <w:proofErr w:type="spellStart"/>
            <w:r>
              <w:rPr>
                <w:sz w:val="19"/>
                <w:szCs w:val="19"/>
              </w:rPr>
              <w:t>Eqalussuit</w:t>
            </w:r>
            <w:proofErr w:type="spellEnd"/>
            <w:r>
              <w:rPr>
                <w:sz w:val="19"/>
                <w:szCs w:val="19"/>
              </w:rPr>
              <w:t>”)</w:t>
            </w:r>
          </w:p>
        </w:tc>
      </w:tr>
      <w:tr w:rsidR="00A15FBE" w14:paraId="6655C313" w14:textId="77777777">
        <w:tblPrEx>
          <w:tblCellMar>
            <w:top w:w="0" w:type="dxa"/>
            <w:bottom w:w="0" w:type="dxa"/>
          </w:tblCellMar>
        </w:tblPrEx>
        <w:tc>
          <w:tcPr>
            <w:tcW w:w="2900" w:type="dxa"/>
            <w:shd w:val="clear" w:color="auto" w:fill="EEF3F9"/>
            <w:tcMar>
              <w:top w:w="60" w:type="dxa"/>
              <w:left w:w="110" w:type="dxa"/>
              <w:bottom w:w="60" w:type="dxa"/>
              <w:right w:w="110" w:type="dxa"/>
            </w:tcMar>
            <w:vAlign w:val="center"/>
          </w:tcPr>
          <w:p w14:paraId="6B28EFC3" w14:textId="77777777" w:rsidR="00A15FBE" w:rsidRDefault="00000000">
            <w:pPr>
              <w:spacing w:line="260" w:lineRule="auto"/>
            </w:pPr>
            <w:r>
              <w:rPr>
                <w:sz w:val="19"/>
                <w:szCs w:val="19"/>
              </w:rPr>
              <w:t>Mineralised strike length</w:t>
            </w:r>
          </w:p>
        </w:tc>
        <w:tc>
          <w:tcPr>
            <w:tcW w:w="6460" w:type="dxa"/>
            <w:shd w:val="clear" w:color="auto" w:fill="EEF3F9"/>
            <w:tcMar>
              <w:top w:w="60" w:type="dxa"/>
              <w:left w:w="110" w:type="dxa"/>
              <w:bottom w:w="60" w:type="dxa"/>
              <w:right w:w="110" w:type="dxa"/>
            </w:tcMar>
            <w:vAlign w:val="center"/>
          </w:tcPr>
          <w:p w14:paraId="1C82F09F" w14:textId="77777777" w:rsidR="00A15FBE" w:rsidRDefault="00000000">
            <w:pPr>
              <w:spacing w:line="260" w:lineRule="auto"/>
            </w:pPr>
            <w:r>
              <w:rPr>
                <w:sz w:val="19"/>
                <w:szCs w:val="19"/>
              </w:rPr>
              <w:t xml:space="preserve">~7 km, open along strike (to Giesecke / </w:t>
            </w:r>
            <w:proofErr w:type="spellStart"/>
            <w:r>
              <w:rPr>
                <w:sz w:val="19"/>
                <w:szCs w:val="19"/>
              </w:rPr>
              <w:t>Ataneq</w:t>
            </w:r>
            <w:proofErr w:type="spellEnd"/>
            <w:r>
              <w:rPr>
                <w:sz w:val="19"/>
                <w:szCs w:val="19"/>
              </w:rPr>
              <w:t>) and at depth</w:t>
            </w:r>
          </w:p>
        </w:tc>
      </w:tr>
      <w:tr w:rsidR="00A15FBE" w14:paraId="3961F7D5" w14:textId="77777777">
        <w:tblPrEx>
          <w:tblCellMar>
            <w:top w:w="0" w:type="dxa"/>
            <w:bottom w:w="0" w:type="dxa"/>
          </w:tblCellMar>
        </w:tblPrEx>
        <w:tc>
          <w:tcPr>
            <w:tcW w:w="2900" w:type="dxa"/>
            <w:shd w:val="clear" w:color="auto" w:fill="FFFFFF"/>
            <w:tcMar>
              <w:top w:w="60" w:type="dxa"/>
              <w:left w:w="110" w:type="dxa"/>
              <w:bottom w:w="60" w:type="dxa"/>
              <w:right w:w="110" w:type="dxa"/>
            </w:tcMar>
            <w:vAlign w:val="center"/>
          </w:tcPr>
          <w:p w14:paraId="03299C67" w14:textId="77777777" w:rsidR="00A15FBE" w:rsidRDefault="00000000">
            <w:pPr>
              <w:spacing w:line="260" w:lineRule="auto"/>
            </w:pPr>
            <w:r>
              <w:rPr>
                <w:sz w:val="19"/>
                <w:szCs w:val="19"/>
              </w:rPr>
              <w:t>Historic estimate (GGU/21st North)</w:t>
            </w:r>
          </w:p>
        </w:tc>
        <w:tc>
          <w:tcPr>
            <w:tcW w:w="6460" w:type="dxa"/>
            <w:shd w:val="clear" w:color="auto" w:fill="FFFFFF"/>
            <w:tcMar>
              <w:top w:w="60" w:type="dxa"/>
              <w:left w:w="110" w:type="dxa"/>
              <w:bottom w:w="60" w:type="dxa"/>
              <w:right w:w="110" w:type="dxa"/>
            </w:tcMar>
            <w:vAlign w:val="center"/>
          </w:tcPr>
          <w:p w14:paraId="6E61CF7E" w14:textId="77777777" w:rsidR="00A15FBE" w:rsidRDefault="00000000">
            <w:pPr>
              <w:spacing w:line="260" w:lineRule="auto"/>
            </w:pPr>
            <w:r>
              <w:rPr>
                <w:sz w:val="19"/>
                <w:szCs w:val="19"/>
              </w:rPr>
              <w:t>5.34 Mt @ 9.5% C, incl. 1.16 Mt @ 14.8% C (LOI; non-compliant)</w:t>
            </w:r>
          </w:p>
        </w:tc>
      </w:tr>
      <w:tr w:rsidR="00A15FBE" w14:paraId="64BDA826" w14:textId="77777777">
        <w:tblPrEx>
          <w:tblCellMar>
            <w:top w:w="0" w:type="dxa"/>
            <w:bottom w:w="0" w:type="dxa"/>
          </w:tblCellMar>
        </w:tblPrEx>
        <w:tc>
          <w:tcPr>
            <w:tcW w:w="2900" w:type="dxa"/>
            <w:shd w:val="clear" w:color="auto" w:fill="EEF3F9"/>
            <w:tcMar>
              <w:top w:w="60" w:type="dxa"/>
              <w:left w:w="110" w:type="dxa"/>
              <w:bottom w:w="60" w:type="dxa"/>
              <w:right w:w="110" w:type="dxa"/>
            </w:tcMar>
            <w:vAlign w:val="center"/>
          </w:tcPr>
          <w:p w14:paraId="7E6D75B9" w14:textId="77777777" w:rsidR="00A15FBE" w:rsidRDefault="00000000">
            <w:pPr>
              <w:spacing w:line="260" w:lineRule="auto"/>
            </w:pPr>
            <w:r>
              <w:rPr>
                <w:sz w:val="19"/>
                <w:szCs w:val="19"/>
              </w:rPr>
              <w:t>Historic estimate (2019, GFR)</w:t>
            </w:r>
          </w:p>
        </w:tc>
        <w:tc>
          <w:tcPr>
            <w:tcW w:w="6460" w:type="dxa"/>
            <w:shd w:val="clear" w:color="auto" w:fill="EEF3F9"/>
            <w:tcMar>
              <w:top w:w="60" w:type="dxa"/>
              <w:left w:w="110" w:type="dxa"/>
              <w:bottom w:w="60" w:type="dxa"/>
              <w:right w:w="110" w:type="dxa"/>
            </w:tcMar>
            <w:vAlign w:val="center"/>
          </w:tcPr>
          <w:p w14:paraId="484A481F" w14:textId="77777777" w:rsidR="00A15FBE" w:rsidRDefault="00000000">
            <w:pPr>
              <w:spacing w:line="260" w:lineRule="auto"/>
            </w:pPr>
            <w:r>
              <w:rPr>
                <w:sz w:val="19"/>
                <w:szCs w:val="19"/>
              </w:rPr>
              <w:t>12.6 Mt @ 6.3% Cg, incl. 2.8 Mt @ 12% Cg (non-compliant)</w:t>
            </w:r>
          </w:p>
        </w:tc>
      </w:tr>
      <w:tr w:rsidR="00A15FBE" w14:paraId="190831F3" w14:textId="77777777">
        <w:tblPrEx>
          <w:tblCellMar>
            <w:top w:w="0" w:type="dxa"/>
            <w:bottom w:w="0" w:type="dxa"/>
          </w:tblCellMar>
        </w:tblPrEx>
        <w:tc>
          <w:tcPr>
            <w:tcW w:w="2900" w:type="dxa"/>
            <w:shd w:val="clear" w:color="auto" w:fill="FFFFFF"/>
            <w:tcMar>
              <w:top w:w="60" w:type="dxa"/>
              <w:left w:w="110" w:type="dxa"/>
              <w:bottom w:w="60" w:type="dxa"/>
              <w:right w:w="110" w:type="dxa"/>
            </w:tcMar>
            <w:vAlign w:val="center"/>
          </w:tcPr>
          <w:p w14:paraId="5AE8A04E" w14:textId="77777777" w:rsidR="00A15FBE" w:rsidRDefault="00000000">
            <w:pPr>
              <w:spacing w:line="260" w:lineRule="auto"/>
            </w:pPr>
            <w:r>
              <w:rPr>
                <w:sz w:val="19"/>
                <w:szCs w:val="19"/>
              </w:rPr>
              <w:t>Drilling</w:t>
            </w:r>
          </w:p>
        </w:tc>
        <w:tc>
          <w:tcPr>
            <w:tcW w:w="6460" w:type="dxa"/>
            <w:shd w:val="clear" w:color="auto" w:fill="FFFFFF"/>
            <w:tcMar>
              <w:top w:w="60" w:type="dxa"/>
              <w:left w:w="110" w:type="dxa"/>
              <w:bottom w:w="60" w:type="dxa"/>
              <w:right w:w="110" w:type="dxa"/>
            </w:tcMar>
            <w:vAlign w:val="center"/>
          </w:tcPr>
          <w:p w14:paraId="295ABCC2" w14:textId="77777777" w:rsidR="00A15FBE" w:rsidRDefault="00000000">
            <w:pPr>
              <w:spacing w:line="260" w:lineRule="auto"/>
            </w:pPr>
            <w:r>
              <w:rPr>
                <w:sz w:val="19"/>
                <w:szCs w:val="19"/>
              </w:rPr>
              <w:t>124 holes / 5,705 m (1982–83), only to ~40 m depth</w:t>
            </w:r>
          </w:p>
        </w:tc>
      </w:tr>
      <w:tr w:rsidR="00A15FBE" w14:paraId="5DC1FBF2" w14:textId="77777777">
        <w:tblPrEx>
          <w:tblCellMar>
            <w:top w:w="0" w:type="dxa"/>
            <w:bottom w:w="0" w:type="dxa"/>
          </w:tblCellMar>
        </w:tblPrEx>
        <w:tc>
          <w:tcPr>
            <w:tcW w:w="2900" w:type="dxa"/>
            <w:shd w:val="clear" w:color="auto" w:fill="EEF3F9"/>
            <w:tcMar>
              <w:top w:w="60" w:type="dxa"/>
              <w:left w:w="110" w:type="dxa"/>
              <w:bottom w:w="60" w:type="dxa"/>
              <w:right w:w="110" w:type="dxa"/>
            </w:tcMar>
            <w:vAlign w:val="center"/>
          </w:tcPr>
          <w:p w14:paraId="6A70F817" w14:textId="77777777" w:rsidR="00A15FBE" w:rsidRDefault="00000000">
            <w:pPr>
              <w:spacing w:line="260" w:lineRule="auto"/>
            </w:pPr>
            <w:r>
              <w:rPr>
                <w:sz w:val="19"/>
                <w:szCs w:val="19"/>
              </w:rPr>
              <w:t>Metallurgy</w:t>
            </w:r>
          </w:p>
        </w:tc>
        <w:tc>
          <w:tcPr>
            <w:tcW w:w="6460" w:type="dxa"/>
            <w:shd w:val="clear" w:color="auto" w:fill="EEF3F9"/>
            <w:tcMar>
              <w:top w:w="60" w:type="dxa"/>
              <w:left w:w="110" w:type="dxa"/>
              <w:bottom w:w="60" w:type="dxa"/>
              <w:right w:w="110" w:type="dxa"/>
            </w:tcMar>
            <w:vAlign w:val="center"/>
          </w:tcPr>
          <w:p w14:paraId="0AEA68C5" w14:textId="77777777" w:rsidR="00A15FBE" w:rsidRDefault="00000000">
            <w:pPr>
              <w:spacing w:line="260" w:lineRule="auto"/>
            </w:pPr>
            <w:r>
              <w:rPr>
                <w:sz w:val="19"/>
                <w:szCs w:val="19"/>
              </w:rPr>
              <w:t>Pilot-plant flotation; ~90–94% C concentrate; coarse flake</w:t>
            </w:r>
          </w:p>
        </w:tc>
      </w:tr>
      <w:tr w:rsidR="00A15FBE" w14:paraId="3B938B1A" w14:textId="77777777">
        <w:tblPrEx>
          <w:tblCellMar>
            <w:top w:w="0" w:type="dxa"/>
            <w:bottom w:w="0" w:type="dxa"/>
          </w:tblCellMar>
        </w:tblPrEx>
        <w:tc>
          <w:tcPr>
            <w:tcW w:w="2900" w:type="dxa"/>
            <w:shd w:val="clear" w:color="auto" w:fill="FFFFFF"/>
            <w:tcMar>
              <w:top w:w="60" w:type="dxa"/>
              <w:left w:w="110" w:type="dxa"/>
              <w:bottom w:w="60" w:type="dxa"/>
              <w:right w:w="110" w:type="dxa"/>
            </w:tcMar>
            <w:vAlign w:val="center"/>
          </w:tcPr>
          <w:p w14:paraId="75EB5D76" w14:textId="77777777" w:rsidR="00A15FBE" w:rsidRDefault="00000000">
            <w:pPr>
              <w:spacing w:line="260" w:lineRule="auto"/>
            </w:pPr>
            <w:r>
              <w:rPr>
                <w:sz w:val="19"/>
                <w:szCs w:val="19"/>
              </w:rPr>
              <w:t>Key negatives</w:t>
            </w:r>
          </w:p>
        </w:tc>
        <w:tc>
          <w:tcPr>
            <w:tcW w:w="6460" w:type="dxa"/>
            <w:shd w:val="clear" w:color="auto" w:fill="FFFFFF"/>
            <w:tcMar>
              <w:top w:w="60" w:type="dxa"/>
              <w:left w:w="110" w:type="dxa"/>
              <w:bottom w:w="60" w:type="dxa"/>
              <w:right w:w="110" w:type="dxa"/>
            </w:tcMar>
            <w:vAlign w:val="center"/>
          </w:tcPr>
          <w:p w14:paraId="616D5CF2" w14:textId="77777777" w:rsidR="00A15FBE" w:rsidRDefault="00000000">
            <w:pPr>
              <w:spacing w:line="260" w:lineRule="auto"/>
            </w:pPr>
            <w:r>
              <w:rPr>
                <w:sz w:val="19"/>
                <w:szCs w:val="19"/>
              </w:rPr>
              <w:t>Sulphide-rich; LOI-based grades; historic non-compliant data</w:t>
            </w:r>
          </w:p>
        </w:tc>
      </w:tr>
      <w:tr w:rsidR="00A15FBE" w14:paraId="151E5806" w14:textId="77777777">
        <w:tblPrEx>
          <w:tblCellMar>
            <w:top w:w="0" w:type="dxa"/>
            <w:bottom w:w="0" w:type="dxa"/>
          </w:tblCellMar>
        </w:tblPrEx>
        <w:tc>
          <w:tcPr>
            <w:tcW w:w="2900" w:type="dxa"/>
            <w:shd w:val="clear" w:color="auto" w:fill="EEF3F9"/>
            <w:tcMar>
              <w:top w:w="60" w:type="dxa"/>
              <w:left w:w="110" w:type="dxa"/>
              <w:bottom w:w="60" w:type="dxa"/>
              <w:right w:w="110" w:type="dxa"/>
            </w:tcMar>
            <w:vAlign w:val="center"/>
          </w:tcPr>
          <w:p w14:paraId="264C4076" w14:textId="77777777" w:rsidR="00A15FBE" w:rsidRDefault="00000000">
            <w:pPr>
              <w:spacing w:line="260" w:lineRule="auto"/>
            </w:pPr>
            <w:r>
              <w:rPr>
                <w:sz w:val="19"/>
                <w:szCs w:val="19"/>
              </w:rPr>
              <w:t>Tenure</w:t>
            </w:r>
          </w:p>
        </w:tc>
        <w:tc>
          <w:tcPr>
            <w:tcW w:w="6460" w:type="dxa"/>
            <w:shd w:val="clear" w:color="auto" w:fill="EEF3F9"/>
            <w:tcMar>
              <w:top w:w="60" w:type="dxa"/>
              <w:left w:w="110" w:type="dxa"/>
              <w:bottom w:w="60" w:type="dxa"/>
              <w:right w:w="110" w:type="dxa"/>
            </w:tcMar>
            <w:vAlign w:val="center"/>
          </w:tcPr>
          <w:p w14:paraId="5651A471" w14:textId="77777777" w:rsidR="00A15FBE" w:rsidRDefault="00000000">
            <w:pPr>
              <w:spacing w:line="260" w:lineRule="auto"/>
            </w:pPr>
            <w:r>
              <w:rPr>
                <w:sz w:val="19"/>
                <w:szCs w:val="19"/>
              </w:rPr>
              <w:t>Last named holder Graphite Field Resources Ltd (2019); 2026 status to verify</w:t>
            </w:r>
          </w:p>
        </w:tc>
      </w:tr>
      <w:tr w:rsidR="00A15FBE" w14:paraId="61E2CEDF" w14:textId="77777777">
        <w:tblPrEx>
          <w:tblCellMar>
            <w:top w:w="0" w:type="dxa"/>
            <w:bottom w:w="0" w:type="dxa"/>
          </w:tblCellMar>
        </w:tblPrEx>
        <w:tc>
          <w:tcPr>
            <w:tcW w:w="2900" w:type="dxa"/>
            <w:shd w:val="clear" w:color="auto" w:fill="FFFFFF"/>
            <w:tcMar>
              <w:top w:w="60" w:type="dxa"/>
              <w:left w:w="110" w:type="dxa"/>
              <w:bottom w:w="60" w:type="dxa"/>
              <w:right w:w="110" w:type="dxa"/>
            </w:tcMar>
            <w:vAlign w:val="center"/>
          </w:tcPr>
          <w:p w14:paraId="482390E8" w14:textId="77777777" w:rsidR="00A15FBE" w:rsidRDefault="00000000">
            <w:pPr>
              <w:spacing w:line="260" w:lineRule="auto"/>
            </w:pPr>
            <w:r>
              <w:rPr>
                <w:sz w:val="19"/>
                <w:szCs w:val="19"/>
              </w:rPr>
              <w:t>Recommended next step</w:t>
            </w:r>
          </w:p>
        </w:tc>
        <w:tc>
          <w:tcPr>
            <w:tcW w:w="6460" w:type="dxa"/>
            <w:shd w:val="clear" w:color="auto" w:fill="FFFFFF"/>
            <w:tcMar>
              <w:top w:w="60" w:type="dxa"/>
              <w:left w:w="110" w:type="dxa"/>
              <w:bottom w:w="60" w:type="dxa"/>
              <w:right w:w="110" w:type="dxa"/>
            </w:tcMar>
            <w:vAlign w:val="center"/>
          </w:tcPr>
          <w:p w14:paraId="177AED00" w14:textId="77777777" w:rsidR="00A15FBE" w:rsidRDefault="00000000">
            <w:pPr>
              <w:spacing w:line="260" w:lineRule="auto"/>
            </w:pPr>
            <w:r>
              <w:rPr>
                <w:sz w:val="19"/>
                <w:szCs w:val="19"/>
              </w:rPr>
              <w:t>Tenure check, data compilation, verification/twin drilling, modern metallurgy</w:t>
            </w:r>
          </w:p>
        </w:tc>
      </w:tr>
    </w:tbl>
    <w:p w14:paraId="5BB0672A" w14:textId="77777777" w:rsidR="00A15FBE" w:rsidRDefault="00000000">
      <w:pPr>
        <w:pStyle w:val="Heading1"/>
      </w:pPr>
      <w:r>
        <w:t>2. Introduction and Purpose</w:t>
      </w:r>
    </w:p>
    <w:p w14:paraId="19729079" w14:textId="77777777" w:rsidR="00A15FBE" w:rsidRDefault="00000000">
      <w:pPr>
        <w:spacing w:after="140" w:line="276" w:lineRule="auto"/>
        <w:jc w:val="both"/>
      </w:pPr>
      <w:r>
        <w:t xml:space="preserve">Agricola Mining Consultants has been asked to prepare a concise, balanced technical overview of the </w:t>
      </w:r>
      <w:proofErr w:type="spellStart"/>
      <w:r>
        <w:t>Akuliaruseq</w:t>
      </w:r>
      <w:proofErr w:type="spellEnd"/>
      <w:r>
        <w:t xml:space="preserve"> graphite opportunity for early discussion with prospective investors. The aim is to give a non-specialist reader an honest sense of what is genuinely attractive about </w:t>
      </w:r>
      <w:proofErr w:type="spellStart"/>
      <w:r>
        <w:t>Akuliaruseq</w:t>
      </w:r>
      <w:proofErr w:type="spellEnd"/>
      <w:r>
        <w:t>, what remains unverified by modern standards, and what work would be needed to bring it to a position where a code-compliant Mineral Resource and a credible development case could be contemplated.</w:t>
      </w:r>
    </w:p>
    <w:p w14:paraId="5B1D401B" w14:textId="77777777" w:rsidR="00A15FBE" w:rsidRDefault="00000000">
      <w:pPr>
        <w:spacing w:after="140" w:line="276" w:lineRule="auto"/>
        <w:jc w:val="both"/>
      </w:pPr>
      <w:proofErr w:type="spellStart"/>
      <w:r>
        <w:t>Akuliaruseq</w:t>
      </w:r>
      <w:proofErr w:type="spellEnd"/>
      <w:r>
        <w:t xml:space="preserve"> is the western, best-studied end of a much longer graphitic belt. The same graphite-bearing stratigraphy can be followed north-east along strike through the Lake Giesecke and </w:t>
      </w:r>
      <w:proofErr w:type="spellStart"/>
      <w:r>
        <w:t>Ataneq</w:t>
      </w:r>
      <w:proofErr w:type="spellEnd"/>
      <w:r>
        <w:t xml:space="preserve"> areas, and 2013 fieldwork reported the host sequence persisting for many tens of kilometres inland. The district-scale story is therefore larger than the drilled deposit alone, although that regional potential is entirely undrilled and conceptual.</w:t>
      </w:r>
    </w:p>
    <w:tbl>
      <w:tblPr>
        <w:tblW w:w="9360" w:type="dxa"/>
        <w:tblBorders>
          <w:top w:val="single" w:sz="2" w:space="0" w:color="2E75B6"/>
          <w:left w:val="single" w:sz="24" w:space="0" w:color="2E75B6"/>
          <w:bottom w:val="single" w:sz="2" w:space="0" w:color="2E75B6"/>
          <w:right w:val="single" w:sz="2" w:space="0" w:color="2E75B6"/>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15FBE" w14:paraId="079A36F5" w14:textId="77777777">
        <w:tblPrEx>
          <w:tblCellMar>
            <w:top w:w="0" w:type="dxa"/>
            <w:bottom w:w="0" w:type="dxa"/>
          </w:tblCellMar>
        </w:tblPrEx>
        <w:tc>
          <w:tcPr>
            <w:tcW w:w="9360" w:type="dxa"/>
            <w:shd w:val="clear" w:color="auto" w:fill="E8F0F9"/>
            <w:tcMar>
              <w:top w:w="140" w:type="dxa"/>
              <w:left w:w="200" w:type="dxa"/>
              <w:bottom w:w="140" w:type="dxa"/>
              <w:right w:w="160" w:type="dxa"/>
            </w:tcMar>
          </w:tcPr>
          <w:p w14:paraId="0C3136F6" w14:textId="77777777" w:rsidR="00A15FBE" w:rsidRDefault="00000000">
            <w:pPr>
              <w:spacing w:after="80"/>
            </w:pPr>
            <w:r>
              <w:rPr>
                <w:b/>
                <w:bCs/>
                <w:color w:val="2E75B6"/>
                <w:sz w:val="22"/>
                <w:szCs w:val="22"/>
              </w:rPr>
              <w:t>One occurrence, several names</w:t>
            </w:r>
          </w:p>
          <w:p w14:paraId="5716251A" w14:textId="77777777" w:rsidR="00A15FBE" w:rsidRDefault="00000000">
            <w:pPr>
              <w:spacing w:line="268" w:lineRule="auto"/>
              <w:jc w:val="both"/>
            </w:pPr>
            <w:proofErr w:type="spellStart"/>
            <w:r>
              <w:t>Akuliaruseq</w:t>
            </w:r>
            <w:proofErr w:type="spellEnd"/>
            <w:r>
              <w:t xml:space="preserve"> has been known under several spellings — “</w:t>
            </w:r>
            <w:proofErr w:type="spellStart"/>
            <w:r>
              <w:t>Eqalussuit</w:t>
            </w:r>
            <w:proofErr w:type="spellEnd"/>
            <w:r>
              <w:t>” / “</w:t>
            </w:r>
            <w:proofErr w:type="spellStart"/>
            <w:r>
              <w:t>Eqalugssuit</w:t>
            </w:r>
            <w:proofErr w:type="spellEnd"/>
            <w:r>
              <w:t>” / “</w:t>
            </w:r>
            <w:proofErr w:type="spellStart"/>
            <w:r>
              <w:t>Ekalugssuit</w:t>
            </w:r>
            <w:proofErr w:type="spellEnd"/>
            <w:r>
              <w:t xml:space="preserve">” (after the inlet on its south coast) in the older literature. The modern Greenlandic spelling, </w:t>
            </w:r>
            <w:proofErr w:type="spellStart"/>
            <w:r>
              <w:t>Akuliaruseq</w:t>
            </w:r>
            <w:proofErr w:type="spellEnd"/>
            <w:r>
              <w:t>, is used throughout this document. The deposit, the peninsula and the historic occurrence are the same thing.</w:t>
            </w:r>
          </w:p>
        </w:tc>
      </w:tr>
    </w:tbl>
    <w:p w14:paraId="423B06AE" w14:textId="77777777" w:rsidR="00A15FBE" w:rsidRDefault="00000000">
      <w:pPr>
        <w:pStyle w:val="Heading1"/>
      </w:pPr>
      <w:r>
        <w:lastRenderedPageBreak/>
        <w:t>3. Location, Access and Infrastructure</w:t>
      </w:r>
    </w:p>
    <w:p w14:paraId="6D7C2B75" w14:textId="77777777" w:rsidR="00A15FBE" w:rsidRDefault="00000000">
      <w:pPr>
        <w:spacing w:after="140" w:line="276" w:lineRule="auto"/>
        <w:jc w:val="both"/>
      </w:pPr>
      <w:r>
        <w:t xml:space="preserve">The </w:t>
      </w:r>
      <w:proofErr w:type="spellStart"/>
      <w:r>
        <w:t>Akuliaruseq</w:t>
      </w:r>
      <w:proofErr w:type="spellEnd"/>
      <w:r>
        <w:t xml:space="preserve"> peninsula lies on the outer-fjord coast of central West Greenland, just north of Nordre </w:t>
      </w:r>
      <w:proofErr w:type="spellStart"/>
      <w:r>
        <w:t>Strømfjord</w:t>
      </w:r>
      <w:proofErr w:type="spellEnd"/>
      <w:r>
        <w:t>, between two deep-water inlets. The setting is, by Greenland standards, unusually favourable for early-stage work.</w:t>
      </w: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000" w:firstRow="0" w:lastRow="0" w:firstColumn="0" w:lastColumn="0" w:noHBand="0" w:noVBand="0"/>
      </w:tblPr>
      <w:tblGrid>
        <w:gridCol w:w="29"/>
        <w:gridCol w:w="2963"/>
        <w:gridCol w:w="6339"/>
        <w:gridCol w:w="29"/>
      </w:tblGrid>
      <w:tr w:rsidR="00A15FBE" w14:paraId="28BE6722" w14:textId="77777777">
        <w:tblPrEx>
          <w:tblCellMar>
            <w:top w:w="0" w:type="dxa"/>
            <w:bottom w:w="0" w:type="dxa"/>
          </w:tblCellMar>
        </w:tblPrEx>
        <w:trPr>
          <w:gridAfter w:val="1"/>
          <w:wAfter w:w="29" w:type="dxa"/>
          <w:tblHeader/>
        </w:trPr>
        <w:tc>
          <w:tcPr>
            <w:tcW w:w="3000" w:type="dxa"/>
            <w:gridSpan w:val="2"/>
            <w:shd w:val="clear" w:color="auto" w:fill="1B3A5C"/>
            <w:tcMar>
              <w:top w:w="70" w:type="dxa"/>
              <w:left w:w="110" w:type="dxa"/>
              <w:bottom w:w="70" w:type="dxa"/>
              <w:right w:w="110" w:type="dxa"/>
            </w:tcMar>
            <w:vAlign w:val="center"/>
          </w:tcPr>
          <w:p w14:paraId="4F9C1712" w14:textId="77777777" w:rsidR="00A15FBE" w:rsidRDefault="00000000">
            <w:r>
              <w:rPr>
                <w:b/>
                <w:bCs/>
                <w:color w:val="FFFFFF"/>
                <w:sz w:val="19"/>
                <w:szCs w:val="19"/>
              </w:rPr>
              <w:t>Attribute</w:t>
            </w:r>
          </w:p>
        </w:tc>
        <w:tc>
          <w:tcPr>
            <w:tcW w:w="6360" w:type="dxa"/>
            <w:shd w:val="clear" w:color="auto" w:fill="1B3A5C"/>
            <w:tcMar>
              <w:top w:w="70" w:type="dxa"/>
              <w:left w:w="110" w:type="dxa"/>
              <w:bottom w:w="70" w:type="dxa"/>
              <w:right w:w="110" w:type="dxa"/>
            </w:tcMar>
            <w:vAlign w:val="center"/>
          </w:tcPr>
          <w:p w14:paraId="322DF936" w14:textId="77777777" w:rsidR="00A15FBE" w:rsidRDefault="00000000">
            <w:r>
              <w:rPr>
                <w:b/>
                <w:bCs/>
                <w:color w:val="FFFFFF"/>
                <w:sz w:val="19"/>
                <w:szCs w:val="19"/>
              </w:rPr>
              <w:t>Detail</w:t>
            </w:r>
          </w:p>
        </w:tc>
      </w:tr>
      <w:tr w:rsidR="00A15FBE" w14:paraId="6E0E75B5" w14:textId="77777777">
        <w:tblPrEx>
          <w:tblCellMar>
            <w:top w:w="0" w:type="dxa"/>
            <w:bottom w:w="0" w:type="dxa"/>
          </w:tblCellMar>
        </w:tblPrEx>
        <w:trPr>
          <w:gridAfter w:val="1"/>
          <w:wAfter w:w="29" w:type="dxa"/>
        </w:trPr>
        <w:tc>
          <w:tcPr>
            <w:tcW w:w="3000" w:type="dxa"/>
            <w:gridSpan w:val="2"/>
            <w:shd w:val="clear" w:color="auto" w:fill="FFFFFF"/>
            <w:tcMar>
              <w:top w:w="60" w:type="dxa"/>
              <w:left w:w="110" w:type="dxa"/>
              <w:bottom w:w="60" w:type="dxa"/>
              <w:right w:w="110" w:type="dxa"/>
            </w:tcMar>
            <w:vAlign w:val="center"/>
          </w:tcPr>
          <w:p w14:paraId="2B874703" w14:textId="77777777" w:rsidR="00A15FBE" w:rsidRDefault="00000000">
            <w:pPr>
              <w:spacing w:line="260" w:lineRule="auto"/>
            </w:pPr>
            <w:r>
              <w:rPr>
                <w:sz w:val="19"/>
                <w:szCs w:val="19"/>
              </w:rPr>
              <w:t>Region</w:t>
            </w:r>
          </w:p>
        </w:tc>
        <w:tc>
          <w:tcPr>
            <w:tcW w:w="6360" w:type="dxa"/>
            <w:shd w:val="clear" w:color="auto" w:fill="FFFFFF"/>
            <w:tcMar>
              <w:top w:w="60" w:type="dxa"/>
              <w:left w:w="110" w:type="dxa"/>
              <w:bottom w:w="60" w:type="dxa"/>
              <w:right w:w="110" w:type="dxa"/>
            </w:tcMar>
            <w:vAlign w:val="center"/>
          </w:tcPr>
          <w:p w14:paraId="7FBC18C0" w14:textId="77777777" w:rsidR="00A15FBE" w:rsidRDefault="00000000">
            <w:pPr>
              <w:spacing w:line="260" w:lineRule="auto"/>
            </w:pPr>
            <w:r>
              <w:rPr>
                <w:sz w:val="19"/>
                <w:szCs w:val="19"/>
              </w:rPr>
              <w:t xml:space="preserve">Nordre </w:t>
            </w:r>
            <w:proofErr w:type="spellStart"/>
            <w:r>
              <w:rPr>
                <w:sz w:val="19"/>
                <w:szCs w:val="19"/>
              </w:rPr>
              <w:t>Strømfjord</w:t>
            </w:r>
            <w:proofErr w:type="spellEnd"/>
            <w:r>
              <w:rPr>
                <w:sz w:val="19"/>
                <w:szCs w:val="19"/>
              </w:rPr>
              <w:t xml:space="preserve"> / </w:t>
            </w:r>
            <w:proofErr w:type="spellStart"/>
            <w:r>
              <w:rPr>
                <w:sz w:val="19"/>
                <w:szCs w:val="19"/>
              </w:rPr>
              <w:t>Qeqqata</w:t>
            </w:r>
            <w:proofErr w:type="spellEnd"/>
            <w:r>
              <w:rPr>
                <w:sz w:val="19"/>
                <w:szCs w:val="19"/>
              </w:rPr>
              <w:t>, central West Greenland</w:t>
            </w:r>
          </w:p>
        </w:tc>
      </w:tr>
      <w:tr w:rsidR="00A15FBE" w14:paraId="127724D3" w14:textId="77777777">
        <w:tblPrEx>
          <w:tblCellMar>
            <w:top w:w="0" w:type="dxa"/>
            <w:bottom w:w="0" w:type="dxa"/>
          </w:tblCellMar>
        </w:tblPrEx>
        <w:trPr>
          <w:gridAfter w:val="1"/>
          <w:wAfter w:w="29" w:type="dxa"/>
        </w:trPr>
        <w:tc>
          <w:tcPr>
            <w:tcW w:w="3000" w:type="dxa"/>
            <w:gridSpan w:val="2"/>
            <w:shd w:val="clear" w:color="auto" w:fill="EEF3F9"/>
            <w:tcMar>
              <w:top w:w="60" w:type="dxa"/>
              <w:left w:w="110" w:type="dxa"/>
              <w:bottom w:w="60" w:type="dxa"/>
              <w:right w:w="110" w:type="dxa"/>
            </w:tcMar>
            <w:vAlign w:val="center"/>
          </w:tcPr>
          <w:p w14:paraId="3BC6999D" w14:textId="77777777" w:rsidR="00A15FBE" w:rsidRDefault="00000000">
            <w:pPr>
              <w:spacing w:line="260" w:lineRule="auto"/>
            </w:pPr>
            <w:r>
              <w:rPr>
                <w:sz w:val="19"/>
                <w:szCs w:val="19"/>
              </w:rPr>
              <w:t>Nearest town</w:t>
            </w:r>
          </w:p>
        </w:tc>
        <w:tc>
          <w:tcPr>
            <w:tcW w:w="6360" w:type="dxa"/>
            <w:shd w:val="clear" w:color="auto" w:fill="EEF3F9"/>
            <w:tcMar>
              <w:top w:w="60" w:type="dxa"/>
              <w:left w:w="110" w:type="dxa"/>
              <w:bottom w:w="60" w:type="dxa"/>
              <w:right w:w="110" w:type="dxa"/>
            </w:tcMar>
            <w:vAlign w:val="center"/>
          </w:tcPr>
          <w:p w14:paraId="4CFFF56D" w14:textId="77777777" w:rsidR="00A15FBE" w:rsidRDefault="00000000">
            <w:pPr>
              <w:spacing w:line="260" w:lineRule="auto"/>
            </w:pPr>
            <w:r>
              <w:rPr>
                <w:sz w:val="19"/>
                <w:szCs w:val="19"/>
              </w:rPr>
              <w:t>Sisimiut (Greenland’s second town) ~90 km south</w:t>
            </w:r>
          </w:p>
        </w:tc>
      </w:tr>
      <w:tr w:rsidR="00A15FBE" w14:paraId="7D741E5B" w14:textId="77777777">
        <w:tblPrEx>
          <w:tblCellMar>
            <w:top w:w="0" w:type="dxa"/>
            <w:bottom w:w="0" w:type="dxa"/>
          </w:tblCellMar>
        </w:tblPrEx>
        <w:trPr>
          <w:gridAfter w:val="1"/>
          <w:wAfter w:w="29" w:type="dxa"/>
        </w:trPr>
        <w:tc>
          <w:tcPr>
            <w:tcW w:w="3000" w:type="dxa"/>
            <w:gridSpan w:val="2"/>
            <w:shd w:val="clear" w:color="auto" w:fill="FFFFFF"/>
            <w:tcMar>
              <w:top w:w="60" w:type="dxa"/>
              <w:left w:w="110" w:type="dxa"/>
              <w:bottom w:w="60" w:type="dxa"/>
              <w:right w:w="110" w:type="dxa"/>
            </w:tcMar>
            <w:vAlign w:val="center"/>
          </w:tcPr>
          <w:p w14:paraId="7FCC7E67" w14:textId="77777777" w:rsidR="00A15FBE" w:rsidRDefault="00000000">
            <w:pPr>
              <w:spacing w:line="260" w:lineRule="auto"/>
            </w:pPr>
            <w:r>
              <w:rPr>
                <w:sz w:val="19"/>
                <w:szCs w:val="19"/>
              </w:rPr>
              <w:t>Nearest international airport</w:t>
            </w:r>
          </w:p>
        </w:tc>
        <w:tc>
          <w:tcPr>
            <w:tcW w:w="6360" w:type="dxa"/>
            <w:shd w:val="clear" w:color="auto" w:fill="FFFFFF"/>
            <w:tcMar>
              <w:top w:w="60" w:type="dxa"/>
              <w:left w:w="110" w:type="dxa"/>
              <w:bottom w:w="60" w:type="dxa"/>
              <w:right w:w="110" w:type="dxa"/>
            </w:tcMar>
            <w:vAlign w:val="center"/>
          </w:tcPr>
          <w:p w14:paraId="631A27C2" w14:textId="77777777" w:rsidR="00A15FBE" w:rsidRDefault="00000000">
            <w:pPr>
              <w:spacing w:line="260" w:lineRule="auto"/>
            </w:pPr>
            <w:proofErr w:type="spellStart"/>
            <w:r>
              <w:rPr>
                <w:sz w:val="19"/>
                <w:szCs w:val="19"/>
              </w:rPr>
              <w:t>Kangerlussuaq</w:t>
            </w:r>
            <w:proofErr w:type="spellEnd"/>
            <w:r>
              <w:rPr>
                <w:sz w:val="19"/>
                <w:szCs w:val="19"/>
              </w:rPr>
              <w:t xml:space="preserve"> ~140 km</w:t>
            </w:r>
          </w:p>
        </w:tc>
      </w:tr>
      <w:tr w:rsidR="00A15FBE" w14:paraId="35716B3E" w14:textId="77777777">
        <w:tblPrEx>
          <w:tblCellMar>
            <w:top w:w="0" w:type="dxa"/>
            <w:bottom w:w="0" w:type="dxa"/>
          </w:tblCellMar>
        </w:tblPrEx>
        <w:trPr>
          <w:gridAfter w:val="1"/>
          <w:wAfter w:w="29" w:type="dxa"/>
        </w:trPr>
        <w:tc>
          <w:tcPr>
            <w:tcW w:w="3000" w:type="dxa"/>
            <w:gridSpan w:val="2"/>
            <w:shd w:val="clear" w:color="auto" w:fill="EEF3F9"/>
            <w:tcMar>
              <w:top w:w="60" w:type="dxa"/>
              <w:left w:w="110" w:type="dxa"/>
              <w:bottom w:w="60" w:type="dxa"/>
              <w:right w:w="110" w:type="dxa"/>
            </w:tcMar>
            <w:vAlign w:val="center"/>
          </w:tcPr>
          <w:p w14:paraId="6ABD83F0" w14:textId="77777777" w:rsidR="00A15FBE" w:rsidRDefault="00000000">
            <w:pPr>
              <w:spacing w:line="260" w:lineRule="auto"/>
            </w:pPr>
            <w:r>
              <w:rPr>
                <w:sz w:val="19"/>
                <w:szCs w:val="19"/>
              </w:rPr>
              <w:t>Access</w:t>
            </w:r>
          </w:p>
        </w:tc>
        <w:tc>
          <w:tcPr>
            <w:tcW w:w="6360" w:type="dxa"/>
            <w:shd w:val="clear" w:color="auto" w:fill="EEF3F9"/>
            <w:tcMar>
              <w:top w:w="60" w:type="dxa"/>
              <w:left w:w="110" w:type="dxa"/>
              <w:bottom w:w="60" w:type="dxa"/>
              <w:right w:w="110" w:type="dxa"/>
            </w:tcMar>
            <w:vAlign w:val="center"/>
          </w:tcPr>
          <w:p w14:paraId="037B8A33" w14:textId="77777777" w:rsidR="00A15FBE" w:rsidRDefault="00000000">
            <w:pPr>
              <w:spacing w:line="260" w:lineRule="auto"/>
            </w:pPr>
            <w:r>
              <w:rPr>
                <w:sz w:val="19"/>
                <w:szCs w:val="19"/>
              </w:rPr>
              <w:t>Boat ~3 hours, or helicopter ~35–40 minutes; deep-water coast</w:t>
            </w:r>
          </w:p>
        </w:tc>
      </w:tr>
      <w:tr w:rsidR="00A15FBE" w14:paraId="19CEADAD" w14:textId="77777777">
        <w:tblPrEx>
          <w:tblCellMar>
            <w:top w:w="0" w:type="dxa"/>
            <w:bottom w:w="0" w:type="dxa"/>
          </w:tblCellMar>
        </w:tblPrEx>
        <w:trPr>
          <w:gridAfter w:val="1"/>
          <w:wAfter w:w="29" w:type="dxa"/>
        </w:trPr>
        <w:tc>
          <w:tcPr>
            <w:tcW w:w="3000" w:type="dxa"/>
            <w:gridSpan w:val="2"/>
            <w:shd w:val="clear" w:color="auto" w:fill="FFFFFF"/>
            <w:tcMar>
              <w:top w:w="60" w:type="dxa"/>
              <w:left w:w="110" w:type="dxa"/>
              <w:bottom w:w="60" w:type="dxa"/>
              <w:right w:w="110" w:type="dxa"/>
            </w:tcMar>
            <w:vAlign w:val="center"/>
          </w:tcPr>
          <w:p w14:paraId="5B2C0383" w14:textId="77777777" w:rsidR="00A15FBE" w:rsidRDefault="00000000">
            <w:pPr>
              <w:spacing w:line="260" w:lineRule="auto"/>
            </w:pPr>
            <w:r>
              <w:rPr>
                <w:sz w:val="19"/>
                <w:szCs w:val="19"/>
              </w:rPr>
              <w:t>Coast / shipping</w:t>
            </w:r>
          </w:p>
        </w:tc>
        <w:tc>
          <w:tcPr>
            <w:tcW w:w="6360" w:type="dxa"/>
            <w:shd w:val="clear" w:color="auto" w:fill="FFFFFF"/>
            <w:tcMar>
              <w:top w:w="60" w:type="dxa"/>
              <w:left w:w="110" w:type="dxa"/>
              <w:bottom w:w="60" w:type="dxa"/>
              <w:right w:w="110" w:type="dxa"/>
            </w:tcMar>
            <w:vAlign w:val="center"/>
          </w:tcPr>
          <w:p w14:paraId="428F9833" w14:textId="77777777" w:rsidR="00A15FBE" w:rsidRDefault="00000000">
            <w:pPr>
              <w:spacing w:line="260" w:lineRule="auto"/>
            </w:pPr>
            <w:r>
              <w:rPr>
                <w:sz w:val="19"/>
                <w:szCs w:val="19"/>
              </w:rPr>
              <w:t>Ice-free year-round; deep water (~70 m) close to shore</w:t>
            </w:r>
          </w:p>
        </w:tc>
      </w:tr>
      <w:tr w:rsidR="00A15FBE" w14:paraId="0E95E3EB" w14:textId="77777777">
        <w:tblPrEx>
          <w:tblCellMar>
            <w:top w:w="0" w:type="dxa"/>
            <w:bottom w:w="0" w:type="dxa"/>
          </w:tblCellMar>
        </w:tblPrEx>
        <w:trPr>
          <w:gridAfter w:val="1"/>
          <w:wAfter w:w="29" w:type="dxa"/>
        </w:trPr>
        <w:tc>
          <w:tcPr>
            <w:tcW w:w="3000" w:type="dxa"/>
            <w:gridSpan w:val="2"/>
            <w:shd w:val="clear" w:color="auto" w:fill="EEF3F9"/>
            <w:tcMar>
              <w:top w:w="60" w:type="dxa"/>
              <w:left w:w="110" w:type="dxa"/>
              <w:bottom w:w="60" w:type="dxa"/>
              <w:right w:w="110" w:type="dxa"/>
            </w:tcMar>
            <w:vAlign w:val="center"/>
          </w:tcPr>
          <w:p w14:paraId="28E994D3" w14:textId="77777777" w:rsidR="00A15FBE" w:rsidRDefault="00000000">
            <w:pPr>
              <w:spacing w:line="260" w:lineRule="auto"/>
            </w:pPr>
            <w:r>
              <w:rPr>
                <w:sz w:val="19"/>
                <w:szCs w:val="19"/>
              </w:rPr>
              <w:t>Exposure</w:t>
            </w:r>
          </w:p>
        </w:tc>
        <w:tc>
          <w:tcPr>
            <w:tcW w:w="6360" w:type="dxa"/>
            <w:shd w:val="clear" w:color="auto" w:fill="EEF3F9"/>
            <w:tcMar>
              <w:top w:w="60" w:type="dxa"/>
              <w:left w:w="110" w:type="dxa"/>
              <w:bottom w:w="60" w:type="dxa"/>
              <w:right w:w="110" w:type="dxa"/>
            </w:tcMar>
            <w:vAlign w:val="center"/>
          </w:tcPr>
          <w:p w14:paraId="23FF275D" w14:textId="77777777" w:rsidR="00A15FBE" w:rsidRDefault="00000000">
            <w:pPr>
              <w:spacing w:line="260" w:lineRule="auto"/>
            </w:pPr>
            <w:r>
              <w:rPr>
                <w:sz w:val="19"/>
                <w:szCs w:val="19"/>
              </w:rPr>
              <w:t>Superb — no overburden; mineralisation outcrops at surface</w:t>
            </w:r>
          </w:p>
        </w:tc>
      </w:tr>
      <w:tr w:rsidR="00A15FBE" w14:paraId="069E2583" w14:textId="77777777">
        <w:tblPrEx>
          <w:tblCellMar>
            <w:top w:w="0" w:type="dxa"/>
            <w:bottom w:w="0" w:type="dxa"/>
          </w:tblCellMar>
        </w:tblPrEx>
        <w:trPr>
          <w:gridAfter w:val="1"/>
          <w:wAfter w:w="29" w:type="dxa"/>
        </w:trPr>
        <w:tc>
          <w:tcPr>
            <w:tcW w:w="3000" w:type="dxa"/>
            <w:gridSpan w:val="2"/>
            <w:shd w:val="clear" w:color="auto" w:fill="FFFFFF"/>
            <w:tcMar>
              <w:top w:w="60" w:type="dxa"/>
              <w:left w:w="110" w:type="dxa"/>
              <w:bottom w:w="60" w:type="dxa"/>
              <w:right w:w="110" w:type="dxa"/>
            </w:tcMar>
            <w:vAlign w:val="center"/>
          </w:tcPr>
          <w:p w14:paraId="27556CA3" w14:textId="77777777" w:rsidR="00A15FBE" w:rsidRDefault="00000000">
            <w:pPr>
              <w:spacing w:line="260" w:lineRule="auto"/>
            </w:pPr>
            <w:r>
              <w:rPr>
                <w:sz w:val="19"/>
                <w:szCs w:val="19"/>
              </w:rPr>
              <w:t>Terrain &amp; water</w:t>
            </w:r>
          </w:p>
        </w:tc>
        <w:tc>
          <w:tcPr>
            <w:tcW w:w="6360" w:type="dxa"/>
            <w:shd w:val="clear" w:color="auto" w:fill="FFFFFF"/>
            <w:tcMar>
              <w:top w:w="60" w:type="dxa"/>
              <w:left w:w="110" w:type="dxa"/>
              <w:bottom w:w="60" w:type="dxa"/>
              <w:right w:w="110" w:type="dxa"/>
            </w:tcMar>
            <w:vAlign w:val="center"/>
          </w:tcPr>
          <w:p w14:paraId="133580E2" w14:textId="77777777" w:rsidR="00A15FBE" w:rsidRDefault="00000000">
            <w:pPr>
              <w:spacing w:line="260" w:lineRule="auto"/>
            </w:pPr>
            <w:r>
              <w:rPr>
                <w:sz w:val="19"/>
                <w:szCs w:val="19"/>
              </w:rPr>
              <w:t>Gentle terrain; abundant fresh water (hydropower potential)</w:t>
            </w:r>
          </w:p>
        </w:tc>
      </w:tr>
      <w:tr w:rsidR="00A15FBE" w14:paraId="4F468980" w14:textId="77777777">
        <w:tblPrEx>
          <w:tblCellMar>
            <w:top w:w="0" w:type="dxa"/>
            <w:bottom w:w="0" w:type="dxa"/>
          </w:tblCellMar>
        </w:tblPrEx>
        <w:trPr>
          <w:gridAfter w:val="1"/>
          <w:wAfter w:w="29" w:type="dxa"/>
        </w:trPr>
        <w:tc>
          <w:tcPr>
            <w:tcW w:w="3000" w:type="dxa"/>
            <w:gridSpan w:val="2"/>
            <w:shd w:val="clear" w:color="auto" w:fill="EEF3F9"/>
            <w:tcMar>
              <w:top w:w="60" w:type="dxa"/>
              <w:left w:w="110" w:type="dxa"/>
              <w:bottom w:w="60" w:type="dxa"/>
              <w:right w:w="110" w:type="dxa"/>
            </w:tcMar>
            <w:vAlign w:val="center"/>
          </w:tcPr>
          <w:p w14:paraId="7C11CA09" w14:textId="77777777" w:rsidR="00A15FBE" w:rsidRDefault="00000000">
            <w:pPr>
              <w:spacing w:line="260" w:lineRule="auto"/>
            </w:pPr>
            <w:r>
              <w:rPr>
                <w:sz w:val="19"/>
                <w:szCs w:val="19"/>
              </w:rPr>
              <w:t>Land use</w:t>
            </w:r>
          </w:p>
        </w:tc>
        <w:tc>
          <w:tcPr>
            <w:tcW w:w="6360" w:type="dxa"/>
            <w:shd w:val="clear" w:color="auto" w:fill="EEF3F9"/>
            <w:tcMar>
              <w:top w:w="60" w:type="dxa"/>
              <w:left w:w="110" w:type="dxa"/>
              <w:bottom w:w="60" w:type="dxa"/>
              <w:right w:w="110" w:type="dxa"/>
            </w:tcMar>
            <w:vAlign w:val="center"/>
          </w:tcPr>
          <w:p w14:paraId="5180A4FE" w14:textId="77777777" w:rsidR="00A15FBE" w:rsidRDefault="00000000">
            <w:pPr>
              <w:spacing w:line="260" w:lineRule="auto"/>
            </w:pPr>
            <w:r>
              <w:rPr>
                <w:sz w:val="19"/>
                <w:szCs w:val="19"/>
              </w:rPr>
              <w:t>No national parks, conservation areas or private landowners reported</w:t>
            </w:r>
          </w:p>
        </w:tc>
      </w:tr>
      <w:tr w:rsidR="00A15FBE" w14:paraId="384AF8FD" w14:textId="77777777">
        <w:tblPrEx>
          <w:tblBorders>
            <w:top w:val="single" w:sz="2" w:space="0" w:color="2E75B6"/>
            <w:left w:val="single" w:sz="24" w:space="0" w:color="2E75B6"/>
            <w:bottom w:val="single" w:sz="2" w:space="0" w:color="2E75B6"/>
            <w:right w:val="single" w:sz="2" w:space="0" w:color="2E75B6"/>
            <w:insideH w:val="single" w:sz="4" w:space="0" w:color="auto"/>
            <w:insideV w:val="single" w:sz="4" w:space="0" w:color="auto"/>
          </w:tblBorders>
          <w:tblCellMar>
            <w:top w:w="0" w:type="dxa"/>
            <w:bottom w:w="0" w:type="dxa"/>
          </w:tblCellMar>
        </w:tblPrEx>
        <w:trPr>
          <w:gridBefore w:val="1"/>
          <w:wBefore w:w="29" w:type="dxa"/>
        </w:trPr>
        <w:tc>
          <w:tcPr>
            <w:tcW w:w="9360" w:type="dxa"/>
            <w:gridSpan w:val="3"/>
            <w:shd w:val="clear" w:color="auto" w:fill="E8F0F9"/>
            <w:tcMar>
              <w:top w:w="140" w:type="dxa"/>
              <w:left w:w="200" w:type="dxa"/>
              <w:bottom w:w="140" w:type="dxa"/>
              <w:right w:w="160" w:type="dxa"/>
            </w:tcMar>
          </w:tcPr>
          <w:p w14:paraId="6015DC8C" w14:textId="77777777" w:rsidR="00A15FBE" w:rsidRDefault="00000000">
            <w:pPr>
              <w:spacing w:after="80"/>
            </w:pPr>
            <w:r>
              <w:rPr>
                <w:b/>
                <w:bCs/>
                <w:color w:val="2E75B6"/>
                <w:sz w:val="22"/>
                <w:szCs w:val="22"/>
              </w:rPr>
              <w:t>Why the setting matters</w:t>
            </w:r>
          </w:p>
          <w:p w14:paraId="41BADA06" w14:textId="77777777" w:rsidR="00A15FBE" w:rsidRDefault="00000000">
            <w:pPr>
              <w:spacing w:line="268" w:lineRule="auto"/>
              <w:jc w:val="both"/>
            </w:pPr>
            <w:proofErr w:type="spellStart"/>
            <w:r>
              <w:t>Akuliaruseq</w:t>
            </w:r>
            <w:proofErr w:type="spellEnd"/>
            <w:r>
              <w:t xml:space="preserve"> combines several features that materially reduce early development friction relative to most Arctic projects: a deep-water, year-round ice-free coastline that allows direct shipping; outcropping mineralisation with no surface cover; gentle topography; and proximity to Sisimiut and </w:t>
            </w:r>
            <w:proofErr w:type="spellStart"/>
            <w:r>
              <w:t>Kangerlussuaq</w:t>
            </w:r>
            <w:proofErr w:type="spellEnd"/>
            <w:r>
              <w:t xml:space="preserve"> for logistics and labour. These are genuine advantages. They do not, however, substitute for the missing modern geological and metallurgical verification discussed below.</w:t>
            </w:r>
          </w:p>
        </w:tc>
      </w:tr>
    </w:tbl>
    <w:p w14:paraId="2F3ECF76" w14:textId="77777777" w:rsidR="00A15FBE" w:rsidRDefault="00000000">
      <w:pPr>
        <w:pStyle w:val="Heading1"/>
      </w:pPr>
      <w:r>
        <w:t>4. Geological Setting and Mineralisation</w:t>
      </w:r>
    </w:p>
    <w:p w14:paraId="17A9BBA2" w14:textId="77777777" w:rsidR="00A15FBE" w:rsidRDefault="00000000">
      <w:pPr>
        <w:pStyle w:val="Heading2"/>
      </w:pPr>
      <w:r>
        <w:t>4.1 Regional framework</w:t>
      </w:r>
    </w:p>
    <w:p w14:paraId="6590008E" w14:textId="77777777" w:rsidR="00A15FBE" w:rsidRDefault="00000000">
      <w:pPr>
        <w:spacing w:after="140" w:line="276" w:lineRule="auto"/>
        <w:jc w:val="both"/>
      </w:pPr>
      <w:proofErr w:type="spellStart"/>
      <w:r>
        <w:t>Akuliaruseq</w:t>
      </w:r>
      <w:proofErr w:type="spellEnd"/>
      <w:r>
        <w:t xml:space="preserve"> sits within the </w:t>
      </w:r>
      <w:proofErr w:type="spellStart"/>
      <w:r>
        <w:rPr>
          <w:b/>
          <w:bCs/>
        </w:rPr>
        <w:t>Nagssugtoqidian</w:t>
      </w:r>
      <w:proofErr w:type="spellEnd"/>
      <w:r>
        <w:rPr>
          <w:b/>
          <w:bCs/>
        </w:rPr>
        <w:t xml:space="preserve"> orogen</w:t>
      </w:r>
      <w:r>
        <w:t xml:space="preserve"> of central West Greenland, a Palaeoproterozoic belt of reworked Archaean crust and infolded supracrustal sequences assembled around 1.85 billion years ago. Graphite-bearing supracrustal rocks of the Nordre </w:t>
      </w:r>
      <w:proofErr w:type="spellStart"/>
      <w:r>
        <w:t>Strømfjord</w:t>
      </w:r>
      <w:proofErr w:type="spellEnd"/>
      <w:r>
        <w:t xml:space="preserve"> belt are particularly enriched, and graphite mineralisation has been worked at small scale in this part of the orogen for over a century.</w:t>
      </w:r>
    </w:p>
    <w:p w14:paraId="60722518" w14:textId="77777777" w:rsidR="00A15FBE" w:rsidRDefault="00000000">
      <w:pPr>
        <w:spacing w:after="140" w:line="276" w:lineRule="auto"/>
        <w:jc w:val="both"/>
      </w:pPr>
      <w:r>
        <w:t>The graphite is interpreted as metamorphosed bituminous and sulphide-rich sediment — originally organic-rich, sulphidic strata deposited in a volcanic-arc or back-arc setting, then upgraded to crystalline flake graphite during upper-amphibolite-facies metamorphism. This is a favourable metamorphic grade for producing the larger, more valuable flake sizes.</w:t>
      </w:r>
    </w:p>
    <w:p w14:paraId="1605FDEF" w14:textId="77777777" w:rsidR="00A15FBE" w:rsidRDefault="00000000">
      <w:pPr>
        <w:pStyle w:val="Heading2"/>
      </w:pPr>
      <w:r>
        <w:t>4.2 Deposit geology and mineralisation styles</w:t>
      </w:r>
    </w:p>
    <w:p w14:paraId="7EEB8918" w14:textId="77777777" w:rsidR="00A15FBE" w:rsidRDefault="00000000">
      <w:pPr>
        <w:spacing w:after="140" w:line="276" w:lineRule="auto"/>
        <w:jc w:val="both"/>
      </w:pPr>
      <w:r>
        <w:t xml:space="preserve">At </w:t>
      </w:r>
      <w:proofErr w:type="spellStart"/>
      <w:r>
        <w:t>Akuliaruseq</w:t>
      </w:r>
      <w:proofErr w:type="spellEnd"/>
      <w:r>
        <w:t xml:space="preserve"> the graphite-bearing schists run parallel to the coast and can be followed for about 7 km along a roughly 061° trend, hosted in a steeply dipping, downfolded synform of metasediments enclosed in regional hypersthene gneiss. The graphite occurs in a biotite–sillimanite (± garnet) schist package and is concentrated in minor recumbent folds and in zones of mylonitic (high-strain) deformation. Two mineralisation styles are recognised:</w:t>
      </w:r>
    </w:p>
    <w:p w14:paraId="2CF764AB" w14:textId="77777777" w:rsidR="00A15FBE" w:rsidRDefault="00000000">
      <w:pPr>
        <w:pStyle w:val="ListParagraph"/>
        <w:numPr>
          <w:ilvl w:val="0"/>
          <w:numId w:val="2"/>
        </w:numPr>
        <w:spacing w:after="90" w:line="272" w:lineRule="auto"/>
      </w:pPr>
      <w:r>
        <w:rPr>
          <w:b/>
          <w:bCs/>
        </w:rPr>
        <w:lastRenderedPageBreak/>
        <w:t xml:space="preserve">Disseminated flake (lower grade): </w:t>
      </w:r>
      <w:r>
        <w:t>graphite flakes oriented along the foliation, lying between silicate grains, typically grading ~6–8% graphitic carbon. This is the volumetrically dominant, lower-grade style; the flakes are reported to be clean and free of impurities.</w:t>
      </w:r>
    </w:p>
    <w:p w14:paraId="29DDACD8" w14:textId="77777777" w:rsidR="00A15FBE" w:rsidRDefault="00000000">
      <w:pPr>
        <w:pStyle w:val="ListParagraph"/>
        <w:numPr>
          <w:ilvl w:val="0"/>
          <w:numId w:val="2"/>
        </w:numPr>
        <w:spacing w:after="90" w:line="272" w:lineRule="auto"/>
      </w:pPr>
      <w:r>
        <w:rPr>
          <w:b/>
          <w:bCs/>
        </w:rPr>
        <w:t xml:space="preserve">Structurally hosted (higher grade): </w:t>
      </w:r>
      <w:r>
        <w:t xml:space="preserve">graphite as films, seams and lamellae enveloping the grain texture in intensely deformed, </w:t>
      </w:r>
      <w:proofErr w:type="spellStart"/>
      <w:r>
        <w:t>mylonitised</w:t>
      </w:r>
      <w:proofErr w:type="spellEnd"/>
      <w:r>
        <w:t xml:space="preserve"> and brecciated zones, grading 20–24%. Grade correlates directly with the degree of deformation.</w:t>
      </w:r>
    </w:p>
    <w:p w14:paraId="383CA134" w14:textId="77777777" w:rsidR="00A15FBE" w:rsidRDefault="00000000">
      <w:pPr>
        <w:spacing w:after="140" w:line="276" w:lineRule="auto"/>
        <w:jc w:val="both"/>
      </w:pPr>
      <w:r>
        <w:t xml:space="preserve">Crucially, the graphite-bearing package is described as 35–60 m thick but containing numerous low-grade internal zones (1–20 m wide), so the high headline grades are not continuous across the full width. The mineralisation remains open along strike (north-east toward Giesecke and </w:t>
      </w:r>
      <w:proofErr w:type="spellStart"/>
      <w:r>
        <w:t>Ataneq</w:t>
      </w:r>
      <w:proofErr w:type="spellEnd"/>
      <w:r>
        <w:t>) and at depth, having been drilled only to about 40 m.</w:t>
      </w:r>
    </w:p>
    <w:tbl>
      <w:tblPr>
        <w:tblW w:w="9360" w:type="dxa"/>
        <w:tblBorders>
          <w:top w:val="single" w:sz="2" w:space="0" w:color="2D6A4F"/>
          <w:left w:val="single" w:sz="2" w:space="0" w:color="2D6A4F"/>
          <w:bottom w:val="single" w:sz="2" w:space="0" w:color="2D6A4F"/>
          <w:right w:val="single" w:sz="2" w:space="0" w:color="2D6A4F"/>
          <w:insideH w:val="single" w:sz="4" w:space="0" w:color="auto"/>
          <w:insideV w:val="single" w:sz="4" w:space="0" w:color="auto"/>
        </w:tblBorders>
        <w:shd w:val="clear" w:color="auto" w:fill="D9F2D0" w:themeFill="accent6" w:themeFillTint="33"/>
        <w:tblCellMar>
          <w:left w:w="10" w:type="dxa"/>
          <w:right w:w="10" w:type="dxa"/>
        </w:tblCellMar>
        <w:tblLook w:val="0000" w:firstRow="0" w:lastRow="0" w:firstColumn="0" w:lastColumn="0" w:noHBand="0" w:noVBand="0"/>
      </w:tblPr>
      <w:tblGrid>
        <w:gridCol w:w="9360"/>
      </w:tblGrid>
      <w:tr w:rsidR="00A15FBE" w14:paraId="7598C519" w14:textId="77777777" w:rsidTr="000164C3">
        <w:tblPrEx>
          <w:tblCellMar>
            <w:top w:w="0" w:type="dxa"/>
            <w:bottom w:w="0" w:type="dxa"/>
          </w:tblCellMar>
        </w:tblPrEx>
        <w:tc>
          <w:tcPr>
            <w:tcW w:w="9360" w:type="dxa"/>
            <w:shd w:val="clear" w:color="auto" w:fill="D9F2D0" w:themeFill="accent6" w:themeFillTint="33"/>
            <w:tcMar>
              <w:top w:w="160" w:type="dxa"/>
              <w:left w:w="200" w:type="dxa"/>
              <w:bottom w:w="160" w:type="dxa"/>
              <w:right w:w="200" w:type="dxa"/>
            </w:tcMar>
          </w:tcPr>
          <w:p w14:paraId="09010D5A" w14:textId="77777777" w:rsidR="00A15FBE" w:rsidRPr="000164C3" w:rsidRDefault="00000000">
            <w:pPr>
              <w:spacing w:after="80"/>
              <w:rPr>
                <w:color w:val="000000" w:themeColor="text1"/>
              </w:rPr>
            </w:pPr>
            <w:r w:rsidRPr="000164C3">
              <w:rPr>
                <w:b/>
                <w:bCs/>
                <w:color w:val="000000" w:themeColor="text1"/>
                <w:sz w:val="22"/>
                <w:szCs w:val="22"/>
              </w:rPr>
              <w:t>QP Opinion 1</w:t>
            </w:r>
          </w:p>
          <w:p w14:paraId="0869F7C9" w14:textId="77777777" w:rsidR="00A15FBE" w:rsidRDefault="00000000">
            <w:pPr>
              <w:spacing w:line="268" w:lineRule="auto"/>
              <w:jc w:val="both"/>
            </w:pPr>
            <w:r>
              <w:t>The geological setting is favourable for a flake-graphite deposit: an upper-amphibolite-facies, regionally extensive graphitic horizon with a coarse-flake population and a long, drill-tested strike length. The structural control on the high-grade zones is a double-edged feature — it concentrates grade, but it also makes the high-grade material discontinuous and harder to model. The key unknown is not whether graphite is present in quantity (it plainly is) but what continuous, mineable grade and width can be demonstrated to modern standards.</w:t>
            </w:r>
          </w:p>
          <w:p w14:paraId="64539570" w14:textId="77777777" w:rsidR="00A15FBE" w:rsidRDefault="00000000">
            <w:pPr>
              <w:spacing w:before="100"/>
            </w:pPr>
            <w:r w:rsidRPr="000164C3">
              <w:rPr>
                <w:i/>
                <w:iCs/>
                <w:color w:val="000000" w:themeColor="text1"/>
                <w:sz w:val="18"/>
                <w:szCs w:val="18"/>
              </w:rPr>
              <w:t>Malcolm Castle, MAusIMM (CP Geo) — Qualified Person, Agricola Mining Consultants Pty Ltd</w:t>
            </w:r>
          </w:p>
        </w:tc>
      </w:tr>
    </w:tbl>
    <w:p w14:paraId="00CE4101" w14:textId="77777777" w:rsidR="00A15FBE" w:rsidRDefault="00000000">
      <w:pPr>
        <w:pStyle w:val="Heading1"/>
      </w:pPr>
      <w:r>
        <w:t>5. Resource History — and How to Read It</w:t>
      </w:r>
    </w:p>
    <w:p w14:paraId="03A06CA7" w14:textId="77777777" w:rsidR="00A15FBE" w:rsidRDefault="00000000">
      <w:pPr>
        <w:spacing w:after="140" w:line="276" w:lineRule="auto"/>
        <w:jc w:val="both"/>
      </w:pPr>
      <w:proofErr w:type="spellStart"/>
      <w:r>
        <w:t>Akuliaruseq’s</w:t>
      </w:r>
      <w:proofErr w:type="spellEnd"/>
      <w:r>
        <w:t xml:space="preserve"> long history has produced several resource statements over more than a century. They are summarised below in chronological order. </w:t>
      </w:r>
      <w:r>
        <w:rPr>
          <w:b/>
          <w:bCs/>
        </w:rPr>
        <w:t>All are historic and non-compliant; none is a current Mineral Resource.</w:t>
      </w: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000" w:firstRow="0" w:lastRow="0" w:firstColumn="0" w:lastColumn="0" w:noHBand="0" w:noVBand="0"/>
      </w:tblPr>
      <w:tblGrid>
        <w:gridCol w:w="2300"/>
        <w:gridCol w:w="3260"/>
        <w:gridCol w:w="3800"/>
      </w:tblGrid>
      <w:tr w:rsidR="00A15FBE" w14:paraId="2E4D5932" w14:textId="77777777">
        <w:tblPrEx>
          <w:tblCellMar>
            <w:top w:w="0" w:type="dxa"/>
            <w:bottom w:w="0" w:type="dxa"/>
          </w:tblCellMar>
        </w:tblPrEx>
        <w:trPr>
          <w:tblHeader/>
        </w:trPr>
        <w:tc>
          <w:tcPr>
            <w:tcW w:w="2300" w:type="dxa"/>
            <w:shd w:val="clear" w:color="auto" w:fill="1B3A5C"/>
            <w:tcMar>
              <w:top w:w="70" w:type="dxa"/>
              <w:left w:w="110" w:type="dxa"/>
              <w:bottom w:w="70" w:type="dxa"/>
              <w:right w:w="110" w:type="dxa"/>
            </w:tcMar>
            <w:vAlign w:val="center"/>
          </w:tcPr>
          <w:p w14:paraId="3C74F95E" w14:textId="77777777" w:rsidR="00A15FBE" w:rsidRDefault="00000000">
            <w:r>
              <w:rPr>
                <w:b/>
                <w:bCs/>
                <w:color w:val="FFFFFF"/>
                <w:sz w:val="19"/>
                <w:szCs w:val="19"/>
              </w:rPr>
              <w:t>Year / source</w:t>
            </w:r>
          </w:p>
        </w:tc>
        <w:tc>
          <w:tcPr>
            <w:tcW w:w="3260" w:type="dxa"/>
            <w:shd w:val="clear" w:color="auto" w:fill="1B3A5C"/>
            <w:tcMar>
              <w:top w:w="70" w:type="dxa"/>
              <w:left w:w="110" w:type="dxa"/>
              <w:bottom w:w="70" w:type="dxa"/>
              <w:right w:w="110" w:type="dxa"/>
            </w:tcMar>
            <w:vAlign w:val="center"/>
          </w:tcPr>
          <w:p w14:paraId="6E8F610D" w14:textId="77777777" w:rsidR="00A15FBE" w:rsidRDefault="00000000">
            <w:r>
              <w:rPr>
                <w:b/>
                <w:bCs/>
                <w:color w:val="FFFFFF"/>
                <w:sz w:val="19"/>
                <w:szCs w:val="19"/>
              </w:rPr>
              <w:t>Estimate (as reported)</w:t>
            </w:r>
          </w:p>
        </w:tc>
        <w:tc>
          <w:tcPr>
            <w:tcW w:w="3800" w:type="dxa"/>
            <w:shd w:val="clear" w:color="auto" w:fill="1B3A5C"/>
            <w:tcMar>
              <w:top w:w="70" w:type="dxa"/>
              <w:left w:w="110" w:type="dxa"/>
              <w:bottom w:w="70" w:type="dxa"/>
              <w:right w:w="110" w:type="dxa"/>
            </w:tcMar>
            <w:vAlign w:val="center"/>
          </w:tcPr>
          <w:p w14:paraId="0D8B266A" w14:textId="77777777" w:rsidR="00A15FBE" w:rsidRDefault="00000000">
            <w:r>
              <w:rPr>
                <w:b/>
                <w:bCs/>
                <w:color w:val="FFFFFF"/>
                <w:sz w:val="19"/>
                <w:szCs w:val="19"/>
              </w:rPr>
              <w:t>Notes</w:t>
            </w:r>
          </w:p>
        </w:tc>
      </w:tr>
      <w:tr w:rsidR="00A15FBE" w14:paraId="73C42E4B" w14:textId="77777777">
        <w:tblPrEx>
          <w:tblCellMar>
            <w:top w:w="0" w:type="dxa"/>
            <w:bottom w:w="0" w:type="dxa"/>
          </w:tblCellMar>
        </w:tblPrEx>
        <w:tc>
          <w:tcPr>
            <w:tcW w:w="2300" w:type="dxa"/>
            <w:shd w:val="clear" w:color="auto" w:fill="FFFFFF"/>
            <w:tcMar>
              <w:top w:w="60" w:type="dxa"/>
              <w:left w:w="110" w:type="dxa"/>
              <w:bottom w:w="60" w:type="dxa"/>
              <w:right w:w="110" w:type="dxa"/>
            </w:tcMar>
            <w:vAlign w:val="center"/>
          </w:tcPr>
          <w:p w14:paraId="68639ED7" w14:textId="77777777" w:rsidR="00A15FBE" w:rsidRDefault="00000000">
            <w:pPr>
              <w:spacing w:line="260" w:lineRule="auto"/>
            </w:pPr>
            <w:r>
              <w:rPr>
                <w:sz w:val="19"/>
                <w:szCs w:val="19"/>
              </w:rPr>
              <w:t>1969 (Platou)</w:t>
            </w:r>
          </w:p>
        </w:tc>
        <w:tc>
          <w:tcPr>
            <w:tcW w:w="3260" w:type="dxa"/>
            <w:shd w:val="clear" w:color="auto" w:fill="FFFFFF"/>
            <w:tcMar>
              <w:top w:w="60" w:type="dxa"/>
              <w:left w:w="110" w:type="dxa"/>
              <w:bottom w:w="60" w:type="dxa"/>
              <w:right w:w="110" w:type="dxa"/>
            </w:tcMar>
            <w:vAlign w:val="center"/>
          </w:tcPr>
          <w:p w14:paraId="50D1897A" w14:textId="77777777" w:rsidR="00A15FBE" w:rsidRDefault="00000000">
            <w:pPr>
              <w:spacing w:line="260" w:lineRule="auto"/>
            </w:pPr>
            <w:r>
              <w:rPr>
                <w:sz w:val="19"/>
                <w:szCs w:val="19"/>
              </w:rPr>
              <w:t>~1.1 Mt @ ~30% C to 10 m</w:t>
            </w:r>
          </w:p>
        </w:tc>
        <w:tc>
          <w:tcPr>
            <w:tcW w:w="3800" w:type="dxa"/>
            <w:shd w:val="clear" w:color="auto" w:fill="FFFFFF"/>
            <w:tcMar>
              <w:top w:w="60" w:type="dxa"/>
              <w:left w:w="110" w:type="dxa"/>
              <w:bottom w:w="60" w:type="dxa"/>
              <w:right w:w="110" w:type="dxa"/>
            </w:tcMar>
            <w:vAlign w:val="center"/>
          </w:tcPr>
          <w:p w14:paraId="1193F254" w14:textId="77777777" w:rsidR="00A15FBE" w:rsidRDefault="00000000">
            <w:pPr>
              <w:spacing w:line="260" w:lineRule="auto"/>
            </w:pPr>
            <w:r>
              <w:rPr>
                <w:sz w:val="19"/>
                <w:szCs w:val="19"/>
              </w:rPr>
              <w:t>Rough, optimistic pre-drilling estimate</w:t>
            </w:r>
          </w:p>
        </w:tc>
      </w:tr>
      <w:tr w:rsidR="00A15FBE" w14:paraId="6B6E0305" w14:textId="77777777">
        <w:tblPrEx>
          <w:tblCellMar>
            <w:top w:w="0" w:type="dxa"/>
            <w:bottom w:w="0" w:type="dxa"/>
          </w:tblCellMar>
        </w:tblPrEx>
        <w:tc>
          <w:tcPr>
            <w:tcW w:w="2300" w:type="dxa"/>
            <w:shd w:val="clear" w:color="auto" w:fill="EEF3F9"/>
            <w:tcMar>
              <w:top w:w="60" w:type="dxa"/>
              <w:left w:w="110" w:type="dxa"/>
              <w:bottom w:w="60" w:type="dxa"/>
              <w:right w:w="110" w:type="dxa"/>
            </w:tcMar>
            <w:vAlign w:val="center"/>
          </w:tcPr>
          <w:p w14:paraId="4830F2C6" w14:textId="77777777" w:rsidR="00A15FBE" w:rsidRDefault="00000000">
            <w:pPr>
              <w:spacing w:line="260" w:lineRule="auto"/>
            </w:pPr>
            <w:r>
              <w:rPr>
                <w:sz w:val="19"/>
                <w:szCs w:val="19"/>
              </w:rPr>
              <w:t>1992 (GGU / Bondam)</w:t>
            </w:r>
          </w:p>
        </w:tc>
        <w:tc>
          <w:tcPr>
            <w:tcW w:w="3260" w:type="dxa"/>
            <w:shd w:val="clear" w:color="auto" w:fill="EEF3F9"/>
            <w:tcMar>
              <w:top w:w="60" w:type="dxa"/>
              <w:left w:w="110" w:type="dxa"/>
              <w:bottom w:w="60" w:type="dxa"/>
              <w:right w:w="110" w:type="dxa"/>
            </w:tcMar>
            <w:vAlign w:val="center"/>
          </w:tcPr>
          <w:p w14:paraId="18DE759E" w14:textId="77777777" w:rsidR="00A15FBE" w:rsidRDefault="00000000">
            <w:pPr>
              <w:spacing w:line="260" w:lineRule="auto"/>
            </w:pPr>
            <w:r>
              <w:rPr>
                <w:sz w:val="19"/>
                <w:szCs w:val="19"/>
              </w:rPr>
              <w:t>5.3 Mt @ 9.5% C to 40 m</w:t>
            </w:r>
          </w:p>
        </w:tc>
        <w:tc>
          <w:tcPr>
            <w:tcW w:w="3800" w:type="dxa"/>
            <w:shd w:val="clear" w:color="auto" w:fill="EEF3F9"/>
            <w:tcMar>
              <w:top w:w="60" w:type="dxa"/>
              <w:left w:w="110" w:type="dxa"/>
              <w:bottom w:w="60" w:type="dxa"/>
              <w:right w:w="110" w:type="dxa"/>
            </w:tcMar>
            <w:vAlign w:val="center"/>
          </w:tcPr>
          <w:p w14:paraId="2952E027" w14:textId="77777777" w:rsidR="00A15FBE" w:rsidRDefault="00000000">
            <w:pPr>
              <w:spacing w:line="260" w:lineRule="auto"/>
            </w:pPr>
            <w:r>
              <w:rPr>
                <w:sz w:val="19"/>
                <w:szCs w:val="19"/>
              </w:rPr>
              <w:t>Whole deposit; grade by loss on ignition</w:t>
            </w:r>
          </w:p>
        </w:tc>
      </w:tr>
      <w:tr w:rsidR="00A15FBE" w14:paraId="620A6E67" w14:textId="77777777">
        <w:tblPrEx>
          <w:tblCellMar>
            <w:top w:w="0" w:type="dxa"/>
            <w:bottom w:w="0" w:type="dxa"/>
          </w:tblCellMar>
        </w:tblPrEx>
        <w:tc>
          <w:tcPr>
            <w:tcW w:w="2300" w:type="dxa"/>
            <w:shd w:val="clear" w:color="auto" w:fill="FFFFFF"/>
            <w:tcMar>
              <w:top w:w="60" w:type="dxa"/>
              <w:left w:w="110" w:type="dxa"/>
              <w:bottom w:w="60" w:type="dxa"/>
              <w:right w:w="110" w:type="dxa"/>
            </w:tcMar>
            <w:vAlign w:val="center"/>
          </w:tcPr>
          <w:p w14:paraId="7676C243" w14:textId="77777777" w:rsidR="00A15FBE" w:rsidRDefault="00000000">
            <w:pPr>
              <w:spacing w:line="260" w:lineRule="auto"/>
            </w:pPr>
            <w:r>
              <w:rPr>
                <w:sz w:val="19"/>
                <w:szCs w:val="19"/>
              </w:rPr>
              <w:t>1992 (GGU, high-grade)</w:t>
            </w:r>
          </w:p>
        </w:tc>
        <w:tc>
          <w:tcPr>
            <w:tcW w:w="3260" w:type="dxa"/>
            <w:shd w:val="clear" w:color="auto" w:fill="FFFFFF"/>
            <w:tcMar>
              <w:top w:w="60" w:type="dxa"/>
              <w:left w:w="110" w:type="dxa"/>
              <w:bottom w:w="60" w:type="dxa"/>
              <w:right w:w="110" w:type="dxa"/>
            </w:tcMar>
            <w:vAlign w:val="center"/>
          </w:tcPr>
          <w:p w14:paraId="45077050" w14:textId="77777777" w:rsidR="00A15FBE" w:rsidRDefault="00000000">
            <w:pPr>
              <w:spacing w:line="260" w:lineRule="auto"/>
            </w:pPr>
            <w:r>
              <w:rPr>
                <w:sz w:val="19"/>
                <w:szCs w:val="19"/>
              </w:rPr>
              <w:t>1.16 Mt @ 14.8% C</w:t>
            </w:r>
          </w:p>
        </w:tc>
        <w:tc>
          <w:tcPr>
            <w:tcW w:w="3800" w:type="dxa"/>
            <w:shd w:val="clear" w:color="auto" w:fill="FFFFFF"/>
            <w:tcMar>
              <w:top w:w="60" w:type="dxa"/>
              <w:left w:w="110" w:type="dxa"/>
              <w:bottom w:w="60" w:type="dxa"/>
              <w:right w:w="110" w:type="dxa"/>
            </w:tcMar>
            <w:vAlign w:val="center"/>
          </w:tcPr>
          <w:p w14:paraId="496C7D29" w14:textId="77777777" w:rsidR="00A15FBE" w:rsidRDefault="00000000">
            <w:pPr>
              <w:spacing w:line="260" w:lineRule="auto"/>
            </w:pPr>
            <w:r>
              <w:rPr>
                <w:sz w:val="19"/>
                <w:szCs w:val="19"/>
              </w:rPr>
              <w:t>≥4 m width, ≥12% C cut-off (LOI)</w:t>
            </w:r>
          </w:p>
        </w:tc>
      </w:tr>
      <w:tr w:rsidR="00A15FBE" w14:paraId="1DFA8306" w14:textId="77777777">
        <w:tblPrEx>
          <w:tblCellMar>
            <w:top w:w="0" w:type="dxa"/>
            <w:bottom w:w="0" w:type="dxa"/>
          </w:tblCellMar>
        </w:tblPrEx>
        <w:tc>
          <w:tcPr>
            <w:tcW w:w="2300" w:type="dxa"/>
            <w:shd w:val="clear" w:color="auto" w:fill="EEF3F9"/>
            <w:tcMar>
              <w:top w:w="60" w:type="dxa"/>
              <w:left w:w="110" w:type="dxa"/>
              <w:bottom w:w="60" w:type="dxa"/>
              <w:right w:w="110" w:type="dxa"/>
            </w:tcMar>
            <w:vAlign w:val="center"/>
          </w:tcPr>
          <w:p w14:paraId="453A3D75" w14:textId="77777777" w:rsidR="00A15FBE" w:rsidRDefault="00000000">
            <w:pPr>
              <w:spacing w:line="260" w:lineRule="auto"/>
            </w:pPr>
            <w:r>
              <w:rPr>
                <w:sz w:val="19"/>
                <w:szCs w:val="19"/>
              </w:rPr>
              <w:t>1992 (GGU, open-pit)</w:t>
            </w:r>
          </w:p>
        </w:tc>
        <w:tc>
          <w:tcPr>
            <w:tcW w:w="3260" w:type="dxa"/>
            <w:shd w:val="clear" w:color="auto" w:fill="EEF3F9"/>
            <w:tcMar>
              <w:top w:w="60" w:type="dxa"/>
              <w:left w:w="110" w:type="dxa"/>
              <w:bottom w:w="60" w:type="dxa"/>
              <w:right w:w="110" w:type="dxa"/>
            </w:tcMar>
            <w:vAlign w:val="center"/>
          </w:tcPr>
          <w:p w14:paraId="66549BC0" w14:textId="77777777" w:rsidR="00A15FBE" w:rsidRDefault="00000000">
            <w:pPr>
              <w:spacing w:line="260" w:lineRule="auto"/>
            </w:pPr>
            <w:r>
              <w:rPr>
                <w:sz w:val="19"/>
                <w:szCs w:val="19"/>
              </w:rPr>
              <w:t>1.57 Mt @ 13.8% C</w:t>
            </w:r>
          </w:p>
        </w:tc>
        <w:tc>
          <w:tcPr>
            <w:tcW w:w="3800" w:type="dxa"/>
            <w:shd w:val="clear" w:color="auto" w:fill="EEF3F9"/>
            <w:tcMar>
              <w:top w:w="60" w:type="dxa"/>
              <w:left w:w="110" w:type="dxa"/>
              <w:bottom w:w="60" w:type="dxa"/>
              <w:right w:w="110" w:type="dxa"/>
            </w:tcMar>
            <w:vAlign w:val="center"/>
          </w:tcPr>
          <w:p w14:paraId="56E80451" w14:textId="77777777" w:rsidR="00A15FBE" w:rsidRDefault="00000000">
            <w:pPr>
              <w:spacing w:line="260" w:lineRule="auto"/>
            </w:pPr>
            <w:r>
              <w:rPr>
                <w:sz w:val="19"/>
                <w:szCs w:val="19"/>
              </w:rPr>
              <w:t>Diluted, 40 m pit, 65° walls (LOI)</w:t>
            </w:r>
          </w:p>
        </w:tc>
      </w:tr>
      <w:tr w:rsidR="00A15FBE" w14:paraId="2AC485AB" w14:textId="77777777">
        <w:tblPrEx>
          <w:tblCellMar>
            <w:top w:w="0" w:type="dxa"/>
            <w:bottom w:w="0" w:type="dxa"/>
          </w:tblCellMar>
        </w:tblPrEx>
        <w:tc>
          <w:tcPr>
            <w:tcW w:w="2300" w:type="dxa"/>
            <w:shd w:val="clear" w:color="auto" w:fill="FFFFFF"/>
            <w:tcMar>
              <w:top w:w="60" w:type="dxa"/>
              <w:left w:w="110" w:type="dxa"/>
              <w:bottom w:w="60" w:type="dxa"/>
              <w:right w:w="110" w:type="dxa"/>
            </w:tcMar>
            <w:vAlign w:val="center"/>
          </w:tcPr>
          <w:p w14:paraId="2E8150BA" w14:textId="77777777" w:rsidR="00A15FBE" w:rsidRDefault="00000000">
            <w:pPr>
              <w:spacing w:line="260" w:lineRule="auto"/>
            </w:pPr>
            <w:r>
              <w:rPr>
                <w:sz w:val="19"/>
                <w:szCs w:val="19"/>
              </w:rPr>
              <w:t>2013 (21st North)</w:t>
            </w:r>
          </w:p>
        </w:tc>
        <w:tc>
          <w:tcPr>
            <w:tcW w:w="3260" w:type="dxa"/>
            <w:shd w:val="clear" w:color="auto" w:fill="FFFFFF"/>
            <w:tcMar>
              <w:top w:w="60" w:type="dxa"/>
              <w:left w:w="110" w:type="dxa"/>
              <w:bottom w:w="60" w:type="dxa"/>
              <w:right w:w="110" w:type="dxa"/>
            </w:tcMar>
            <w:vAlign w:val="center"/>
          </w:tcPr>
          <w:p w14:paraId="3202B75A" w14:textId="77777777" w:rsidR="00A15FBE" w:rsidRDefault="00000000">
            <w:pPr>
              <w:spacing w:line="260" w:lineRule="auto"/>
            </w:pPr>
            <w:r>
              <w:rPr>
                <w:sz w:val="19"/>
                <w:szCs w:val="19"/>
              </w:rPr>
              <w:t>5.34 Mt @ 9.5% C, incl. 1.16 Mt @ 14.8%</w:t>
            </w:r>
          </w:p>
        </w:tc>
        <w:tc>
          <w:tcPr>
            <w:tcW w:w="3800" w:type="dxa"/>
            <w:shd w:val="clear" w:color="auto" w:fill="FFFFFF"/>
            <w:tcMar>
              <w:top w:w="60" w:type="dxa"/>
              <w:left w:w="110" w:type="dxa"/>
              <w:bottom w:w="60" w:type="dxa"/>
              <w:right w:w="110" w:type="dxa"/>
            </w:tcMar>
            <w:vAlign w:val="center"/>
          </w:tcPr>
          <w:p w14:paraId="2D40D1FC" w14:textId="77777777" w:rsidR="00A15FBE" w:rsidRDefault="00000000">
            <w:pPr>
              <w:spacing w:line="260" w:lineRule="auto"/>
            </w:pPr>
            <w:r>
              <w:rPr>
                <w:sz w:val="19"/>
                <w:szCs w:val="19"/>
              </w:rPr>
              <w:t>Restatement of GGU; “open-ended”</w:t>
            </w:r>
          </w:p>
        </w:tc>
      </w:tr>
      <w:tr w:rsidR="00A15FBE" w14:paraId="42C21E47" w14:textId="77777777">
        <w:tblPrEx>
          <w:tblCellMar>
            <w:top w:w="0" w:type="dxa"/>
            <w:bottom w:w="0" w:type="dxa"/>
          </w:tblCellMar>
        </w:tblPrEx>
        <w:tc>
          <w:tcPr>
            <w:tcW w:w="2300" w:type="dxa"/>
            <w:shd w:val="clear" w:color="auto" w:fill="EEF3F9"/>
            <w:tcMar>
              <w:top w:w="60" w:type="dxa"/>
              <w:left w:w="110" w:type="dxa"/>
              <w:bottom w:w="60" w:type="dxa"/>
              <w:right w:w="110" w:type="dxa"/>
            </w:tcMar>
            <w:vAlign w:val="center"/>
          </w:tcPr>
          <w:p w14:paraId="5048B1C9" w14:textId="77777777" w:rsidR="00A15FBE" w:rsidRDefault="00000000">
            <w:pPr>
              <w:spacing w:line="260" w:lineRule="auto"/>
            </w:pPr>
            <w:r>
              <w:rPr>
                <w:sz w:val="19"/>
                <w:szCs w:val="19"/>
              </w:rPr>
              <w:t>2019 (GEUS / GFR Ltd)</w:t>
            </w:r>
          </w:p>
        </w:tc>
        <w:tc>
          <w:tcPr>
            <w:tcW w:w="3260" w:type="dxa"/>
            <w:shd w:val="clear" w:color="auto" w:fill="EEF3F9"/>
            <w:tcMar>
              <w:top w:w="60" w:type="dxa"/>
              <w:left w:w="110" w:type="dxa"/>
              <w:bottom w:w="60" w:type="dxa"/>
              <w:right w:w="110" w:type="dxa"/>
            </w:tcMar>
            <w:vAlign w:val="center"/>
          </w:tcPr>
          <w:p w14:paraId="0FD93C7F" w14:textId="77777777" w:rsidR="00A15FBE" w:rsidRDefault="00000000">
            <w:pPr>
              <w:spacing w:line="260" w:lineRule="auto"/>
            </w:pPr>
            <w:r>
              <w:rPr>
                <w:sz w:val="19"/>
                <w:szCs w:val="19"/>
              </w:rPr>
              <w:t>12.6 Mt @ 6.3% Cg, incl. 2.8 Mt @ 12% Cg</w:t>
            </w:r>
          </w:p>
        </w:tc>
        <w:tc>
          <w:tcPr>
            <w:tcW w:w="3800" w:type="dxa"/>
            <w:shd w:val="clear" w:color="auto" w:fill="EEF3F9"/>
            <w:tcMar>
              <w:top w:w="60" w:type="dxa"/>
              <w:left w:w="110" w:type="dxa"/>
              <w:bottom w:w="60" w:type="dxa"/>
              <w:right w:w="110" w:type="dxa"/>
            </w:tcMar>
            <w:vAlign w:val="center"/>
          </w:tcPr>
          <w:p w14:paraId="1BF28AC3" w14:textId="77777777" w:rsidR="00A15FBE" w:rsidRDefault="00000000">
            <w:pPr>
              <w:spacing w:line="260" w:lineRule="auto"/>
            </w:pPr>
            <w:r>
              <w:rPr>
                <w:sz w:val="19"/>
                <w:szCs w:val="19"/>
              </w:rPr>
              <w:t>Lower cut-off; graphitic-carbon basis</w:t>
            </w:r>
          </w:p>
        </w:tc>
      </w:tr>
    </w:tbl>
    <w:p w14:paraId="2C104F8E" w14:textId="77777777" w:rsidR="00A15FBE" w:rsidRDefault="00000000">
      <w:pPr>
        <w:pStyle w:val="Heading2"/>
      </w:pPr>
      <w:r>
        <w:t>5.1 Reconciling the two headline numbers</w:t>
      </w:r>
    </w:p>
    <w:p w14:paraId="08C8B230" w14:textId="77777777" w:rsidR="00A15FBE" w:rsidRDefault="00000000">
      <w:pPr>
        <w:spacing w:after="140" w:line="276" w:lineRule="auto"/>
        <w:jc w:val="both"/>
      </w:pPr>
      <w:r>
        <w:t>Investors will reasonably ask how the same deposit can be “5.34 Mt at 9.5%” and also “12.6 Mt at 6.3%.” Two effects explain most of the difference, and both matter:</w:t>
      </w:r>
    </w:p>
    <w:p w14:paraId="16688660" w14:textId="77777777" w:rsidR="00A15FBE" w:rsidRDefault="00000000">
      <w:pPr>
        <w:pStyle w:val="ListParagraph"/>
        <w:numPr>
          <w:ilvl w:val="0"/>
          <w:numId w:val="3"/>
        </w:numPr>
        <w:spacing w:after="90" w:line="272" w:lineRule="auto"/>
      </w:pPr>
      <w:r>
        <w:rPr>
          <w:b/>
          <w:bCs/>
        </w:rPr>
        <w:t xml:space="preserve">Cut-off grade. </w:t>
      </w:r>
      <w:r>
        <w:t>The smaller, higher-grade tonnage reflects a higher cut-off (only material above ~6–12% carbon counted); the larger, lower-grade tonnage applies a lower cut-off and so sweeps in more rock at a lower average grade. Neither is “wrong” — they are different selections of the same mineralisation.</w:t>
      </w:r>
    </w:p>
    <w:p w14:paraId="42F7C76C" w14:textId="77777777" w:rsidR="00A15FBE" w:rsidRDefault="00000000">
      <w:pPr>
        <w:pStyle w:val="ListParagraph"/>
        <w:numPr>
          <w:ilvl w:val="0"/>
          <w:numId w:val="3"/>
        </w:numPr>
        <w:spacing w:after="90" w:line="272" w:lineRule="auto"/>
      </w:pPr>
      <w:r>
        <w:rPr>
          <w:b/>
          <w:bCs/>
        </w:rPr>
        <w:lastRenderedPageBreak/>
        <w:t xml:space="preserve">Carbon measurement — the important one. </w:t>
      </w:r>
      <w:r>
        <w:t xml:space="preserve">The older grades (“9.5% C”) were determined by loss on ignition (LOI), i.e. total mass lost on heating. In a sulphide-rich, mica-bearing rock, LOI also captures sulphur from sulphides and water from micas, so it </w:t>
      </w:r>
      <w:r>
        <w:rPr>
          <w:b/>
          <w:bCs/>
        </w:rPr>
        <w:t>overstates the true graphitic carbon (Cg)</w:t>
      </w:r>
      <w:r>
        <w:t>. The 2019 figure (“6.3% Cg”) is expressed as graphitic carbon, the correct commercial measure. The gap between 9.5% LOI and ~6.3% Cg is consistent with several per cent of non-graphite volatiles — which is exactly what you would expect in these schists.</w:t>
      </w:r>
    </w:p>
    <w:tbl>
      <w:tblPr>
        <w:tblW w:w="9360" w:type="dxa"/>
        <w:tblBorders>
          <w:top w:val="single" w:sz="2" w:space="0" w:color="B03A2E"/>
          <w:left w:val="single" w:sz="24" w:space="0" w:color="B03A2E"/>
          <w:bottom w:val="single" w:sz="2" w:space="0" w:color="B03A2E"/>
          <w:right w:val="single" w:sz="2" w:space="0" w:color="B03A2E"/>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15FBE" w14:paraId="4BD139AC" w14:textId="77777777">
        <w:tblPrEx>
          <w:tblCellMar>
            <w:top w:w="0" w:type="dxa"/>
            <w:bottom w:w="0" w:type="dxa"/>
          </w:tblCellMar>
        </w:tblPrEx>
        <w:tc>
          <w:tcPr>
            <w:tcW w:w="9360" w:type="dxa"/>
            <w:shd w:val="clear" w:color="auto" w:fill="F7DDDD"/>
            <w:tcMar>
              <w:top w:w="140" w:type="dxa"/>
              <w:left w:w="200" w:type="dxa"/>
              <w:bottom w:w="140" w:type="dxa"/>
              <w:right w:w="160" w:type="dxa"/>
            </w:tcMar>
          </w:tcPr>
          <w:p w14:paraId="36AA5D11" w14:textId="77777777" w:rsidR="00A15FBE" w:rsidRDefault="00000000">
            <w:pPr>
              <w:spacing w:after="80"/>
            </w:pPr>
            <w:r>
              <w:rPr>
                <w:b/>
                <w:bCs/>
                <w:color w:val="B03A2E"/>
                <w:sz w:val="22"/>
                <w:szCs w:val="22"/>
              </w:rPr>
              <w:t>Read the grade as ~6% Cg, not ~9.5%</w:t>
            </w:r>
          </w:p>
          <w:p w14:paraId="40C11F0E" w14:textId="77777777" w:rsidR="00A15FBE" w:rsidRDefault="00000000">
            <w:pPr>
              <w:spacing w:line="268" w:lineRule="auto"/>
              <w:jc w:val="both"/>
            </w:pPr>
            <w:r>
              <w:rPr>
                <w:b/>
                <w:bCs/>
              </w:rPr>
              <w:t xml:space="preserve">For investment purposes, the defensible working grade is the graphitic-carbon figure (~6% Cg), not the loss-on-ignition figure (~9.5%). </w:t>
            </w:r>
            <w:r>
              <w:t xml:space="preserve">Many global flake-graphite developers operate at 6–8% Cg, so this is not disqualifying — but presenting </w:t>
            </w:r>
            <w:proofErr w:type="spellStart"/>
            <w:r>
              <w:t>Akuliaruseq</w:t>
            </w:r>
            <w:proofErr w:type="spellEnd"/>
            <w:r>
              <w:t xml:space="preserve"> as a “9.5% graphite” deposit would overstate it. Any future programme must report graphitic carbon (e.g. by LECO combustion), not LOI, and must twin historic holes to confirm the relationship.</w:t>
            </w:r>
          </w:p>
        </w:tc>
      </w:tr>
    </w:tbl>
    <w:p w14:paraId="349E504E" w14:textId="77777777" w:rsidR="00A15FBE" w:rsidRDefault="00000000">
      <w:pPr>
        <w:pStyle w:val="Heading1"/>
      </w:pPr>
      <w:r>
        <w:t>6. Metallurgy and Product Quality</w:t>
      </w:r>
    </w:p>
    <w:p w14:paraId="387B8B7D" w14:textId="77777777" w:rsidR="00A15FBE" w:rsidRDefault="00000000">
      <w:pPr>
        <w:spacing w:after="140" w:line="276" w:lineRule="auto"/>
        <w:jc w:val="both"/>
      </w:pPr>
      <w:r>
        <w:t xml:space="preserve">In graphite, the product is everything: value is set far more by flake size and concentrate purity than by head grade. Here </w:t>
      </w:r>
      <w:proofErr w:type="spellStart"/>
      <w:r>
        <w:t>Akuliaruseq</w:t>
      </w:r>
      <w:proofErr w:type="spellEnd"/>
      <w:r>
        <w:t xml:space="preserve"> has a genuine advantage over un-tested peers — it has actually been through pilot-plant flotation.</w:t>
      </w:r>
    </w:p>
    <w:p w14:paraId="76A31B5D" w14:textId="77777777" w:rsidR="00A15FBE" w:rsidRDefault="00000000">
      <w:pPr>
        <w:pStyle w:val="Heading3"/>
      </w:pPr>
      <w:r>
        <w:t>6.1 What the historic test work showed</w:t>
      </w:r>
    </w:p>
    <w:p w14:paraId="6A5DC0A2" w14:textId="77777777" w:rsidR="00A15FBE" w:rsidRDefault="00000000">
      <w:pPr>
        <w:pStyle w:val="ListParagraph"/>
        <w:numPr>
          <w:ilvl w:val="0"/>
          <w:numId w:val="2"/>
        </w:numPr>
        <w:spacing w:after="90" w:line="272" w:lineRule="auto"/>
      </w:pPr>
      <w:r>
        <w:rPr>
          <w:b/>
          <w:bCs/>
        </w:rPr>
        <w:t xml:space="preserve">Pilot-plant flotation. </w:t>
      </w:r>
      <w:r>
        <w:t>Bench and pilot-scale flotation at NTH Trondheim (1980s) on bulk samples produced clean graphite concentrates of roughly 90–94% carbon in the +100-mesh fraction, at concentrate recoveries around 70–80%.</w:t>
      </w:r>
    </w:p>
    <w:p w14:paraId="29B3FED0" w14:textId="77777777" w:rsidR="00A15FBE" w:rsidRDefault="00000000">
      <w:pPr>
        <w:pStyle w:val="ListParagraph"/>
        <w:numPr>
          <w:ilvl w:val="0"/>
          <w:numId w:val="2"/>
        </w:numPr>
        <w:spacing w:after="90" w:line="272" w:lineRule="auto"/>
      </w:pPr>
      <w:r>
        <w:rPr>
          <w:b/>
          <w:bCs/>
        </w:rPr>
        <w:t xml:space="preserve">Attractive flake size. </w:t>
      </w:r>
      <w:r>
        <w:t>Later testing reported a higher proportion of coarse flake than expected — up to ~50% +100 mesh and ~20% +48 mesh. Coarse and “jumbo” flake commands a price premium because of its suitability for expandable graphite and battery-anode feedstock.</w:t>
      </w:r>
    </w:p>
    <w:p w14:paraId="794343FB" w14:textId="77777777" w:rsidR="00A15FBE" w:rsidRDefault="00000000">
      <w:pPr>
        <w:pStyle w:val="ListParagraph"/>
        <w:numPr>
          <w:ilvl w:val="0"/>
          <w:numId w:val="2"/>
        </w:numPr>
        <w:spacing w:after="90" w:line="272" w:lineRule="auto"/>
      </w:pPr>
      <w:r>
        <w:rPr>
          <w:b/>
          <w:bCs/>
        </w:rPr>
        <w:t xml:space="preserve">Clean disseminated flake. </w:t>
      </w:r>
      <w:r>
        <w:t>The lower-grade disseminated flakes were reported to be free of mineral impurities, which is favourable for achieving high concentrate purity.</w:t>
      </w:r>
    </w:p>
    <w:p w14:paraId="2493ECE5" w14:textId="77777777" w:rsidR="00A15FBE" w:rsidRDefault="00000000">
      <w:pPr>
        <w:pStyle w:val="Heading3"/>
      </w:pPr>
      <w:r>
        <w:t>6.2 The processing red flags</w:t>
      </w:r>
    </w:p>
    <w:p w14:paraId="59F3D8A5" w14:textId="77777777" w:rsidR="00A15FBE" w:rsidRDefault="00000000">
      <w:pPr>
        <w:pStyle w:val="ListParagraph"/>
        <w:numPr>
          <w:ilvl w:val="0"/>
          <w:numId w:val="2"/>
        </w:numPr>
        <w:spacing w:after="90" w:line="272" w:lineRule="auto"/>
      </w:pPr>
      <w:r>
        <w:rPr>
          <w:b/>
          <w:bCs/>
        </w:rPr>
        <w:t xml:space="preserve">Sulphides. </w:t>
      </w:r>
      <w:r>
        <w:t xml:space="preserve">The schists are sulphide-rich (several per cent sulphur; sulphides up to ~4–9% by volume). Sulphides float with graphite and dilute the concentrate, complicate cleaning, and create acid-rock-drainage and ESG considerations. The current market explicitly prizes </w:t>
      </w:r>
      <w:r>
        <w:rPr>
          <w:b/>
          <w:bCs/>
        </w:rPr>
        <w:t>low-sulphur</w:t>
      </w:r>
      <w:r>
        <w:t xml:space="preserve"> flake; this is </w:t>
      </w:r>
      <w:proofErr w:type="spellStart"/>
      <w:r>
        <w:t>Akuliaruseq’s</w:t>
      </w:r>
      <w:proofErr w:type="spellEnd"/>
      <w:r>
        <w:t xml:space="preserve"> clearest product disadvantage.</w:t>
      </w:r>
    </w:p>
    <w:p w14:paraId="7ACB0868" w14:textId="77777777" w:rsidR="00A15FBE" w:rsidRDefault="00000000">
      <w:pPr>
        <w:pStyle w:val="ListParagraph"/>
        <w:numPr>
          <w:ilvl w:val="0"/>
          <w:numId w:val="2"/>
        </w:numPr>
        <w:spacing w:after="90" w:line="272" w:lineRule="auto"/>
      </w:pPr>
      <w:r>
        <w:rPr>
          <w:b/>
          <w:bCs/>
        </w:rPr>
        <w:t xml:space="preserve">Liberation. </w:t>
      </w:r>
      <w:r>
        <w:t>Historic mineralogy noted graphite included within, or adhering to, micas — meaning grind size, grade and recovery would all need re-optimisation to hit modern battery-anode specifications.</w:t>
      </w:r>
    </w:p>
    <w:p w14:paraId="5A0E6F26" w14:textId="77777777" w:rsidR="00A15FBE" w:rsidRDefault="00000000">
      <w:pPr>
        <w:pStyle w:val="ListParagraph"/>
        <w:numPr>
          <w:ilvl w:val="0"/>
          <w:numId w:val="2"/>
        </w:numPr>
        <w:spacing w:after="90" w:line="272" w:lineRule="auto"/>
      </w:pPr>
      <w:r>
        <w:rPr>
          <w:b/>
          <w:bCs/>
        </w:rPr>
        <w:t xml:space="preserve">Vintage data. </w:t>
      </w:r>
      <w:r>
        <w:t>All of this work pre-dates today’s battery-anode purity and particle-size standards and modern QA/QC. It is encouraging direction-setting, not a bankable flowsheet.</w:t>
      </w:r>
    </w:p>
    <w:p w14:paraId="587B5637" w14:textId="77777777" w:rsidR="000164C3" w:rsidRDefault="000164C3" w:rsidP="000164C3">
      <w:pPr>
        <w:spacing w:after="90" w:line="272" w:lineRule="auto"/>
      </w:pPr>
    </w:p>
    <w:p w14:paraId="3D17A39D" w14:textId="77777777" w:rsidR="000164C3" w:rsidRDefault="000164C3" w:rsidP="000164C3">
      <w:pPr>
        <w:spacing w:after="90" w:line="272" w:lineRule="auto"/>
      </w:pPr>
    </w:p>
    <w:tbl>
      <w:tblPr>
        <w:tblW w:w="9360" w:type="dxa"/>
        <w:tblBorders>
          <w:top w:val="single" w:sz="2" w:space="0" w:color="2D6A4F"/>
          <w:left w:val="single" w:sz="2" w:space="0" w:color="2D6A4F"/>
          <w:bottom w:val="single" w:sz="2" w:space="0" w:color="2D6A4F"/>
          <w:right w:val="single" w:sz="2" w:space="0" w:color="2D6A4F"/>
          <w:insideH w:val="single" w:sz="4" w:space="0" w:color="auto"/>
          <w:insideV w:val="single" w:sz="4" w:space="0" w:color="auto"/>
        </w:tblBorders>
        <w:shd w:val="clear" w:color="auto" w:fill="D9F2D0" w:themeFill="accent6" w:themeFillTint="33"/>
        <w:tblCellMar>
          <w:left w:w="10" w:type="dxa"/>
          <w:right w:w="10" w:type="dxa"/>
        </w:tblCellMar>
        <w:tblLook w:val="0000" w:firstRow="0" w:lastRow="0" w:firstColumn="0" w:lastColumn="0" w:noHBand="0" w:noVBand="0"/>
      </w:tblPr>
      <w:tblGrid>
        <w:gridCol w:w="9360"/>
      </w:tblGrid>
      <w:tr w:rsidR="00A15FBE" w:rsidRPr="000164C3" w14:paraId="3B3F4A93" w14:textId="77777777" w:rsidTr="000164C3">
        <w:tblPrEx>
          <w:tblCellMar>
            <w:top w:w="0" w:type="dxa"/>
            <w:bottom w:w="0" w:type="dxa"/>
          </w:tblCellMar>
        </w:tblPrEx>
        <w:tc>
          <w:tcPr>
            <w:tcW w:w="9360" w:type="dxa"/>
            <w:shd w:val="clear" w:color="auto" w:fill="D9F2D0" w:themeFill="accent6" w:themeFillTint="33"/>
            <w:tcMar>
              <w:top w:w="160" w:type="dxa"/>
              <w:left w:w="200" w:type="dxa"/>
              <w:bottom w:w="160" w:type="dxa"/>
              <w:right w:w="200" w:type="dxa"/>
            </w:tcMar>
          </w:tcPr>
          <w:p w14:paraId="76CAD7E6" w14:textId="77777777" w:rsidR="00A15FBE" w:rsidRPr="000164C3" w:rsidRDefault="00000000">
            <w:pPr>
              <w:spacing w:after="80"/>
              <w:rPr>
                <w:color w:val="000000" w:themeColor="text1"/>
              </w:rPr>
            </w:pPr>
            <w:r w:rsidRPr="000164C3">
              <w:rPr>
                <w:b/>
                <w:bCs/>
                <w:color w:val="000000" w:themeColor="text1"/>
                <w:sz w:val="22"/>
                <w:szCs w:val="22"/>
              </w:rPr>
              <w:lastRenderedPageBreak/>
              <w:t>QP Opinion 2</w:t>
            </w:r>
          </w:p>
          <w:p w14:paraId="5EC97D40" w14:textId="77777777" w:rsidR="00A15FBE" w:rsidRPr="000164C3" w:rsidRDefault="00000000">
            <w:pPr>
              <w:spacing w:line="268" w:lineRule="auto"/>
              <w:jc w:val="both"/>
              <w:rPr>
                <w:color w:val="000000" w:themeColor="text1"/>
              </w:rPr>
            </w:pPr>
            <w:r w:rsidRPr="000164C3">
              <w:rPr>
                <w:color w:val="000000" w:themeColor="text1"/>
              </w:rPr>
              <w:t xml:space="preserve">The metallurgical history is </w:t>
            </w:r>
            <w:proofErr w:type="spellStart"/>
            <w:r w:rsidRPr="000164C3">
              <w:rPr>
                <w:color w:val="000000" w:themeColor="text1"/>
              </w:rPr>
              <w:t>Akuliaruseq’s</w:t>
            </w:r>
            <w:proofErr w:type="spellEnd"/>
            <w:r w:rsidRPr="000164C3">
              <w:rPr>
                <w:color w:val="000000" w:themeColor="text1"/>
              </w:rPr>
              <w:t xml:space="preserve"> strongest single card and its most important caveat at the same time. A coarse-flake population and demonstrated ~90–94% C concentrates put it ahead of un-tested peers and squarely in the more valuable end of the flake market. But the sulphide content is a real, market-relevant penalty, and none of the historic work was done to current battery-anode standards. A modern, properly sampled metallurgical programme — flake-size-by-grade distribution, sulphur deportment, flotation optimisation and purification to anode spec — is non-negotiable before any product or off-take claim can be made.</w:t>
            </w:r>
          </w:p>
          <w:p w14:paraId="72D6F343" w14:textId="77777777" w:rsidR="00A15FBE" w:rsidRPr="000164C3" w:rsidRDefault="00000000">
            <w:pPr>
              <w:spacing w:before="100"/>
              <w:rPr>
                <w:color w:val="000000" w:themeColor="text1"/>
              </w:rPr>
            </w:pPr>
            <w:r w:rsidRPr="000164C3">
              <w:rPr>
                <w:i/>
                <w:iCs/>
                <w:color w:val="000000" w:themeColor="text1"/>
                <w:sz w:val="18"/>
                <w:szCs w:val="18"/>
              </w:rPr>
              <w:t>Malcolm Castle, MAusIMM (CP Geo) — Qualified Person, Agricola Mining Consultants Pty Ltd</w:t>
            </w:r>
          </w:p>
        </w:tc>
      </w:tr>
    </w:tbl>
    <w:p w14:paraId="061CBF33" w14:textId="77777777" w:rsidR="00A15FBE" w:rsidRDefault="00000000">
      <w:pPr>
        <w:pStyle w:val="Heading1"/>
      </w:pPr>
      <w:r>
        <w:t>7. Exploration Status and Data Gaps</w:t>
      </w:r>
    </w:p>
    <w:p w14:paraId="17DFBA2F" w14:textId="77777777" w:rsidR="00A15FBE" w:rsidRDefault="00000000">
      <w:pPr>
        <w:spacing w:after="140" w:line="276" w:lineRule="auto"/>
        <w:jc w:val="both"/>
      </w:pPr>
      <w:proofErr w:type="spellStart"/>
      <w:r>
        <w:t>Akuliaruseq’s</w:t>
      </w:r>
      <w:proofErr w:type="spellEnd"/>
      <w:r>
        <w:t xml:space="preserve"> paradox is that it is simultaneously the best-explored graphite occurrence in Greenland and entirely unproven by modern standards. The table records what exists and what is missing.</w:t>
      </w: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000" w:firstRow="0" w:lastRow="0" w:firstColumn="0" w:lastColumn="0" w:noHBand="0" w:noVBand="0"/>
      </w:tblPr>
      <w:tblGrid>
        <w:gridCol w:w="29"/>
        <w:gridCol w:w="4159"/>
        <w:gridCol w:w="5143"/>
        <w:gridCol w:w="29"/>
      </w:tblGrid>
      <w:tr w:rsidR="00A15FBE" w14:paraId="21303864" w14:textId="77777777">
        <w:tblPrEx>
          <w:tblCellMar>
            <w:top w:w="0" w:type="dxa"/>
            <w:bottom w:w="0" w:type="dxa"/>
          </w:tblCellMar>
        </w:tblPrEx>
        <w:trPr>
          <w:gridAfter w:val="1"/>
          <w:wAfter w:w="29" w:type="dxa"/>
          <w:tblHeader/>
        </w:trPr>
        <w:tc>
          <w:tcPr>
            <w:tcW w:w="4200" w:type="dxa"/>
            <w:gridSpan w:val="2"/>
            <w:shd w:val="clear" w:color="auto" w:fill="1B3A5C"/>
            <w:tcMar>
              <w:top w:w="70" w:type="dxa"/>
              <w:left w:w="110" w:type="dxa"/>
              <w:bottom w:w="70" w:type="dxa"/>
              <w:right w:w="110" w:type="dxa"/>
            </w:tcMar>
            <w:vAlign w:val="center"/>
          </w:tcPr>
          <w:p w14:paraId="7CF64874" w14:textId="77777777" w:rsidR="00A15FBE" w:rsidRDefault="00000000">
            <w:r>
              <w:rPr>
                <w:b/>
                <w:bCs/>
                <w:color w:val="FFFFFF"/>
                <w:sz w:val="19"/>
                <w:szCs w:val="19"/>
              </w:rPr>
              <w:t>Dataset / milestone</w:t>
            </w:r>
          </w:p>
        </w:tc>
        <w:tc>
          <w:tcPr>
            <w:tcW w:w="5160" w:type="dxa"/>
            <w:shd w:val="clear" w:color="auto" w:fill="1B3A5C"/>
            <w:tcMar>
              <w:top w:w="70" w:type="dxa"/>
              <w:left w:w="110" w:type="dxa"/>
              <w:bottom w:w="70" w:type="dxa"/>
              <w:right w:w="110" w:type="dxa"/>
            </w:tcMar>
            <w:vAlign w:val="center"/>
          </w:tcPr>
          <w:p w14:paraId="0F4690DD" w14:textId="77777777" w:rsidR="00A15FBE" w:rsidRDefault="00000000">
            <w:r>
              <w:rPr>
                <w:b/>
                <w:bCs/>
                <w:color w:val="FFFFFF"/>
                <w:sz w:val="19"/>
                <w:szCs w:val="19"/>
              </w:rPr>
              <w:t xml:space="preserve">Status at </w:t>
            </w:r>
            <w:proofErr w:type="spellStart"/>
            <w:r>
              <w:rPr>
                <w:b/>
                <w:bCs/>
                <w:color w:val="FFFFFF"/>
                <w:sz w:val="19"/>
                <w:szCs w:val="19"/>
              </w:rPr>
              <w:t>Akuliaruseq</w:t>
            </w:r>
            <w:proofErr w:type="spellEnd"/>
          </w:p>
        </w:tc>
      </w:tr>
      <w:tr w:rsidR="00A15FBE" w14:paraId="723DD9A4" w14:textId="77777777">
        <w:tblPrEx>
          <w:tblCellMar>
            <w:top w:w="0" w:type="dxa"/>
            <w:bottom w:w="0" w:type="dxa"/>
          </w:tblCellMar>
        </w:tblPrEx>
        <w:trPr>
          <w:gridAfter w:val="1"/>
          <w:wAfter w:w="29" w:type="dxa"/>
        </w:trPr>
        <w:tc>
          <w:tcPr>
            <w:tcW w:w="4200" w:type="dxa"/>
            <w:gridSpan w:val="2"/>
            <w:shd w:val="clear" w:color="auto" w:fill="FFFFFF"/>
            <w:tcMar>
              <w:top w:w="60" w:type="dxa"/>
              <w:left w:w="110" w:type="dxa"/>
              <w:bottom w:w="60" w:type="dxa"/>
              <w:right w:w="110" w:type="dxa"/>
            </w:tcMar>
            <w:vAlign w:val="center"/>
          </w:tcPr>
          <w:p w14:paraId="51F02074" w14:textId="77777777" w:rsidR="00A15FBE" w:rsidRDefault="00000000">
            <w:pPr>
              <w:spacing w:line="260" w:lineRule="auto"/>
            </w:pPr>
            <w:r>
              <w:rPr>
                <w:sz w:val="19"/>
                <w:szCs w:val="19"/>
              </w:rPr>
              <w:t>Surface mapping &amp; sampling</w:t>
            </w:r>
          </w:p>
        </w:tc>
        <w:tc>
          <w:tcPr>
            <w:tcW w:w="5160" w:type="dxa"/>
            <w:shd w:val="clear" w:color="auto" w:fill="FFFFFF"/>
            <w:tcMar>
              <w:top w:w="60" w:type="dxa"/>
              <w:left w:w="110" w:type="dxa"/>
              <w:bottom w:w="60" w:type="dxa"/>
              <w:right w:w="110" w:type="dxa"/>
            </w:tcMar>
            <w:vAlign w:val="center"/>
          </w:tcPr>
          <w:p w14:paraId="0419F0F7" w14:textId="77777777" w:rsidR="00A15FBE" w:rsidRDefault="00000000">
            <w:pPr>
              <w:spacing w:line="260" w:lineRule="auto"/>
            </w:pPr>
            <w:r>
              <w:rPr>
                <w:sz w:val="19"/>
                <w:szCs w:val="19"/>
              </w:rPr>
              <w:t>Extensive (1900s–2013)</w:t>
            </w:r>
          </w:p>
        </w:tc>
      </w:tr>
      <w:tr w:rsidR="00A15FBE" w14:paraId="25C152CF" w14:textId="77777777">
        <w:tblPrEx>
          <w:tblCellMar>
            <w:top w:w="0" w:type="dxa"/>
            <w:bottom w:w="0" w:type="dxa"/>
          </w:tblCellMar>
        </w:tblPrEx>
        <w:trPr>
          <w:gridAfter w:val="1"/>
          <w:wAfter w:w="29" w:type="dxa"/>
        </w:trPr>
        <w:tc>
          <w:tcPr>
            <w:tcW w:w="4200" w:type="dxa"/>
            <w:gridSpan w:val="2"/>
            <w:shd w:val="clear" w:color="auto" w:fill="EEF3F9"/>
            <w:tcMar>
              <w:top w:w="60" w:type="dxa"/>
              <w:left w:w="110" w:type="dxa"/>
              <w:bottom w:w="60" w:type="dxa"/>
              <w:right w:w="110" w:type="dxa"/>
            </w:tcMar>
            <w:vAlign w:val="center"/>
          </w:tcPr>
          <w:p w14:paraId="49D36555" w14:textId="77777777" w:rsidR="00A15FBE" w:rsidRDefault="00000000">
            <w:pPr>
              <w:spacing w:line="260" w:lineRule="auto"/>
            </w:pPr>
            <w:r>
              <w:rPr>
                <w:sz w:val="19"/>
                <w:szCs w:val="19"/>
              </w:rPr>
              <w:t>Ground geophysics</w:t>
            </w:r>
          </w:p>
        </w:tc>
        <w:tc>
          <w:tcPr>
            <w:tcW w:w="5160" w:type="dxa"/>
            <w:shd w:val="clear" w:color="auto" w:fill="EEF3F9"/>
            <w:tcMar>
              <w:top w:w="60" w:type="dxa"/>
              <w:left w:w="110" w:type="dxa"/>
              <w:bottom w:w="60" w:type="dxa"/>
              <w:right w:w="110" w:type="dxa"/>
            </w:tcMar>
            <w:vAlign w:val="center"/>
          </w:tcPr>
          <w:p w14:paraId="4DE3585A" w14:textId="77777777" w:rsidR="00A15FBE" w:rsidRDefault="00000000">
            <w:pPr>
              <w:spacing w:line="260" w:lineRule="auto"/>
            </w:pPr>
            <w:r>
              <w:rPr>
                <w:sz w:val="19"/>
                <w:szCs w:val="19"/>
              </w:rPr>
              <w:t>Yes — Mag + EM grid, 7,000 × 500 m (1982–83)</w:t>
            </w:r>
          </w:p>
        </w:tc>
      </w:tr>
      <w:tr w:rsidR="00A15FBE" w14:paraId="7B37A7D5" w14:textId="77777777">
        <w:tblPrEx>
          <w:tblCellMar>
            <w:top w:w="0" w:type="dxa"/>
            <w:bottom w:w="0" w:type="dxa"/>
          </w:tblCellMar>
        </w:tblPrEx>
        <w:trPr>
          <w:gridAfter w:val="1"/>
          <w:wAfter w:w="29" w:type="dxa"/>
        </w:trPr>
        <w:tc>
          <w:tcPr>
            <w:tcW w:w="4200" w:type="dxa"/>
            <w:gridSpan w:val="2"/>
            <w:shd w:val="clear" w:color="auto" w:fill="FFFFFF"/>
            <w:tcMar>
              <w:top w:w="60" w:type="dxa"/>
              <w:left w:w="110" w:type="dxa"/>
              <w:bottom w:w="60" w:type="dxa"/>
              <w:right w:w="110" w:type="dxa"/>
            </w:tcMar>
            <w:vAlign w:val="center"/>
          </w:tcPr>
          <w:p w14:paraId="04928813" w14:textId="77777777" w:rsidR="00A15FBE" w:rsidRDefault="00000000">
            <w:pPr>
              <w:spacing w:line="260" w:lineRule="auto"/>
            </w:pPr>
            <w:r>
              <w:rPr>
                <w:sz w:val="19"/>
                <w:szCs w:val="19"/>
              </w:rPr>
              <w:t>Airborne EM (SkyTEM)</w:t>
            </w:r>
          </w:p>
        </w:tc>
        <w:tc>
          <w:tcPr>
            <w:tcW w:w="5160" w:type="dxa"/>
            <w:shd w:val="clear" w:color="auto" w:fill="FFFFFF"/>
            <w:tcMar>
              <w:top w:w="60" w:type="dxa"/>
              <w:left w:w="110" w:type="dxa"/>
              <w:bottom w:w="60" w:type="dxa"/>
              <w:right w:w="110" w:type="dxa"/>
            </w:tcMar>
            <w:vAlign w:val="center"/>
          </w:tcPr>
          <w:p w14:paraId="047AEF36" w14:textId="77777777" w:rsidR="00A15FBE" w:rsidRDefault="00000000">
            <w:pPr>
              <w:spacing w:line="260" w:lineRule="auto"/>
            </w:pPr>
            <w:r>
              <w:rPr>
                <w:sz w:val="19"/>
                <w:szCs w:val="19"/>
              </w:rPr>
              <w:t>Yes — over regional extensions (2013)</w:t>
            </w:r>
          </w:p>
        </w:tc>
      </w:tr>
      <w:tr w:rsidR="00A15FBE" w14:paraId="4C4ECC6E" w14:textId="77777777">
        <w:tblPrEx>
          <w:tblCellMar>
            <w:top w:w="0" w:type="dxa"/>
            <w:bottom w:w="0" w:type="dxa"/>
          </w:tblCellMar>
        </w:tblPrEx>
        <w:trPr>
          <w:gridAfter w:val="1"/>
          <w:wAfter w:w="29" w:type="dxa"/>
        </w:trPr>
        <w:tc>
          <w:tcPr>
            <w:tcW w:w="4200" w:type="dxa"/>
            <w:gridSpan w:val="2"/>
            <w:shd w:val="clear" w:color="auto" w:fill="EEF3F9"/>
            <w:tcMar>
              <w:top w:w="60" w:type="dxa"/>
              <w:left w:w="110" w:type="dxa"/>
              <w:bottom w:w="60" w:type="dxa"/>
              <w:right w:w="110" w:type="dxa"/>
            </w:tcMar>
            <w:vAlign w:val="center"/>
          </w:tcPr>
          <w:p w14:paraId="212E7F95" w14:textId="77777777" w:rsidR="00A15FBE" w:rsidRDefault="00000000">
            <w:pPr>
              <w:spacing w:line="260" w:lineRule="auto"/>
            </w:pPr>
            <w:r>
              <w:rPr>
                <w:sz w:val="19"/>
                <w:szCs w:val="19"/>
              </w:rPr>
              <w:t>Drilling</w:t>
            </w:r>
          </w:p>
        </w:tc>
        <w:tc>
          <w:tcPr>
            <w:tcW w:w="5160" w:type="dxa"/>
            <w:shd w:val="clear" w:color="auto" w:fill="EEF3F9"/>
            <w:tcMar>
              <w:top w:w="60" w:type="dxa"/>
              <w:left w:w="110" w:type="dxa"/>
              <w:bottom w:w="60" w:type="dxa"/>
              <w:right w:w="110" w:type="dxa"/>
            </w:tcMar>
            <w:vAlign w:val="center"/>
          </w:tcPr>
          <w:p w14:paraId="0FE12B82" w14:textId="77777777" w:rsidR="00A15FBE" w:rsidRDefault="00000000">
            <w:pPr>
              <w:spacing w:line="260" w:lineRule="auto"/>
            </w:pPr>
            <w:r>
              <w:rPr>
                <w:sz w:val="19"/>
                <w:szCs w:val="19"/>
              </w:rPr>
              <w:t>124 holes / 5,705 m — but only to ~40 m depth</w:t>
            </w:r>
          </w:p>
        </w:tc>
      </w:tr>
      <w:tr w:rsidR="00A15FBE" w14:paraId="27B68CAC" w14:textId="77777777">
        <w:tblPrEx>
          <w:tblCellMar>
            <w:top w:w="0" w:type="dxa"/>
            <w:bottom w:w="0" w:type="dxa"/>
          </w:tblCellMar>
        </w:tblPrEx>
        <w:trPr>
          <w:gridAfter w:val="1"/>
          <w:wAfter w:w="29" w:type="dxa"/>
        </w:trPr>
        <w:tc>
          <w:tcPr>
            <w:tcW w:w="4200" w:type="dxa"/>
            <w:gridSpan w:val="2"/>
            <w:shd w:val="clear" w:color="auto" w:fill="FFFFFF"/>
            <w:tcMar>
              <w:top w:w="60" w:type="dxa"/>
              <w:left w:w="110" w:type="dxa"/>
              <w:bottom w:w="60" w:type="dxa"/>
              <w:right w:w="110" w:type="dxa"/>
            </w:tcMar>
            <w:vAlign w:val="center"/>
          </w:tcPr>
          <w:p w14:paraId="06056644" w14:textId="77777777" w:rsidR="00A15FBE" w:rsidRDefault="00000000">
            <w:pPr>
              <w:spacing w:line="260" w:lineRule="auto"/>
            </w:pPr>
            <w:r>
              <w:rPr>
                <w:sz w:val="19"/>
                <w:szCs w:val="19"/>
              </w:rPr>
              <w:t>Modern QA/QC &amp; twinning</w:t>
            </w:r>
          </w:p>
        </w:tc>
        <w:tc>
          <w:tcPr>
            <w:tcW w:w="5160" w:type="dxa"/>
            <w:shd w:val="clear" w:color="auto" w:fill="FFFFFF"/>
            <w:tcMar>
              <w:top w:w="60" w:type="dxa"/>
              <w:left w:w="110" w:type="dxa"/>
              <w:bottom w:w="60" w:type="dxa"/>
              <w:right w:w="110" w:type="dxa"/>
            </w:tcMar>
            <w:vAlign w:val="center"/>
          </w:tcPr>
          <w:p w14:paraId="1830EB10" w14:textId="77777777" w:rsidR="00A15FBE" w:rsidRDefault="00000000">
            <w:pPr>
              <w:spacing w:line="260" w:lineRule="auto"/>
            </w:pPr>
            <w:r>
              <w:rPr>
                <w:sz w:val="19"/>
                <w:szCs w:val="19"/>
              </w:rPr>
              <w:t>None — historic data not validated</w:t>
            </w:r>
          </w:p>
        </w:tc>
      </w:tr>
      <w:tr w:rsidR="00A15FBE" w14:paraId="48CA9C33" w14:textId="77777777">
        <w:tblPrEx>
          <w:tblCellMar>
            <w:top w:w="0" w:type="dxa"/>
            <w:bottom w:w="0" w:type="dxa"/>
          </w:tblCellMar>
        </w:tblPrEx>
        <w:trPr>
          <w:gridAfter w:val="1"/>
          <w:wAfter w:w="29" w:type="dxa"/>
        </w:trPr>
        <w:tc>
          <w:tcPr>
            <w:tcW w:w="4200" w:type="dxa"/>
            <w:gridSpan w:val="2"/>
            <w:shd w:val="clear" w:color="auto" w:fill="EEF3F9"/>
            <w:tcMar>
              <w:top w:w="60" w:type="dxa"/>
              <w:left w:w="110" w:type="dxa"/>
              <w:bottom w:w="60" w:type="dxa"/>
              <w:right w:w="110" w:type="dxa"/>
            </w:tcMar>
            <w:vAlign w:val="center"/>
          </w:tcPr>
          <w:p w14:paraId="213F5D61" w14:textId="77777777" w:rsidR="00A15FBE" w:rsidRDefault="00000000">
            <w:pPr>
              <w:spacing w:line="260" w:lineRule="auto"/>
            </w:pPr>
            <w:r>
              <w:rPr>
                <w:sz w:val="19"/>
                <w:szCs w:val="19"/>
              </w:rPr>
              <w:t>Compliant Mineral Resource</w:t>
            </w:r>
          </w:p>
        </w:tc>
        <w:tc>
          <w:tcPr>
            <w:tcW w:w="5160" w:type="dxa"/>
            <w:shd w:val="clear" w:color="auto" w:fill="EEF3F9"/>
            <w:tcMar>
              <w:top w:w="60" w:type="dxa"/>
              <w:left w:w="110" w:type="dxa"/>
              <w:bottom w:w="60" w:type="dxa"/>
              <w:right w:w="110" w:type="dxa"/>
            </w:tcMar>
            <w:vAlign w:val="center"/>
          </w:tcPr>
          <w:p w14:paraId="16EE233D" w14:textId="77777777" w:rsidR="00A15FBE" w:rsidRDefault="00000000">
            <w:pPr>
              <w:spacing w:line="260" w:lineRule="auto"/>
            </w:pPr>
            <w:r>
              <w:rPr>
                <w:sz w:val="19"/>
                <w:szCs w:val="19"/>
              </w:rPr>
              <w:t>None</w:t>
            </w:r>
          </w:p>
        </w:tc>
      </w:tr>
      <w:tr w:rsidR="00A15FBE" w14:paraId="0ADF117D" w14:textId="77777777">
        <w:tblPrEx>
          <w:tblCellMar>
            <w:top w:w="0" w:type="dxa"/>
            <w:bottom w:w="0" w:type="dxa"/>
          </w:tblCellMar>
        </w:tblPrEx>
        <w:trPr>
          <w:gridAfter w:val="1"/>
          <w:wAfter w:w="29" w:type="dxa"/>
        </w:trPr>
        <w:tc>
          <w:tcPr>
            <w:tcW w:w="4200" w:type="dxa"/>
            <w:gridSpan w:val="2"/>
            <w:shd w:val="clear" w:color="auto" w:fill="FFFFFF"/>
            <w:tcMar>
              <w:top w:w="60" w:type="dxa"/>
              <w:left w:w="110" w:type="dxa"/>
              <w:bottom w:w="60" w:type="dxa"/>
              <w:right w:w="110" w:type="dxa"/>
            </w:tcMar>
            <w:vAlign w:val="center"/>
          </w:tcPr>
          <w:p w14:paraId="1FD71D7B" w14:textId="77777777" w:rsidR="00A15FBE" w:rsidRDefault="00000000">
            <w:pPr>
              <w:spacing w:line="260" w:lineRule="auto"/>
            </w:pPr>
            <w:r>
              <w:rPr>
                <w:sz w:val="19"/>
                <w:szCs w:val="19"/>
              </w:rPr>
              <w:t>Metallurgy</w:t>
            </w:r>
          </w:p>
        </w:tc>
        <w:tc>
          <w:tcPr>
            <w:tcW w:w="5160" w:type="dxa"/>
            <w:shd w:val="clear" w:color="auto" w:fill="FFFFFF"/>
            <w:tcMar>
              <w:top w:w="60" w:type="dxa"/>
              <w:left w:w="110" w:type="dxa"/>
              <w:bottom w:w="60" w:type="dxa"/>
              <w:right w:w="110" w:type="dxa"/>
            </w:tcMar>
            <w:vAlign w:val="center"/>
          </w:tcPr>
          <w:p w14:paraId="1A92C011" w14:textId="77777777" w:rsidR="00A15FBE" w:rsidRDefault="00000000">
            <w:pPr>
              <w:spacing w:line="260" w:lineRule="auto"/>
            </w:pPr>
            <w:r>
              <w:rPr>
                <w:sz w:val="19"/>
                <w:szCs w:val="19"/>
              </w:rPr>
              <w:t>Historic pilot-plant only; not to anode standard</w:t>
            </w:r>
          </w:p>
        </w:tc>
      </w:tr>
      <w:tr w:rsidR="00A15FBE" w14:paraId="5FDA421E" w14:textId="77777777">
        <w:tblPrEx>
          <w:tblCellMar>
            <w:top w:w="0" w:type="dxa"/>
            <w:bottom w:w="0" w:type="dxa"/>
          </w:tblCellMar>
        </w:tblPrEx>
        <w:trPr>
          <w:gridAfter w:val="1"/>
          <w:wAfter w:w="29" w:type="dxa"/>
        </w:trPr>
        <w:tc>
          <w:tcPr>
            <w:tcW w:w="4200" w:type="dxa"/>
            <w:gridSpan w:val="2"/>
            <w:shd w:val="clear" w:color="auto" w:fill="EEF3F9"/>
            <w:tcMar>
              <w:top w:w="60" w:type="dxa"/>
              <w:left w:w="110" w:type="dxa"/>
              <w:bottom w:w="60" w:type="dxa"/>
              <w:right w:w="110" w:type="dxa"/>
            </w:tcMar>
            <w:vAlign w:val="center"/>
          </w:tcPr>
          <w:p w14:paraId="2AAE9C90" w14:textId="77777777" w:rsidR="00A15FBE" w:rsidRDefault="00000000">
            <w:pPr>
              <w:spacing w:line="260" w:lineRule="auto"/>
            </w:pPr>
            <w:r>
              <w:rPr>
                <w:sz w:val="19"/>
                <w:szCs w:val="19"/>
              </w:rPr>
              <w:t>Depth / along-strike extension</w:t>
            </w:r>
          </w:p>
        </w:tc>
        <w:tc>
          <w:tcPr>
            <w:tcW w:w="5160" w:type="dxa"/>
            <w:shd w:val="clear" w:color="auto" w:fill="EEF3F9"/>
            <w:tcMar>
              <w:top w:w="60" w:type="dxa"/>
              <w:left w:w="110" w:type="dxa"/>
              <w:bottom w:w="60" w:type="dxa"/>
              <w:right w:w="110" w:type="dxa"/>
            </w:tcMar>
            <w:vAlign w:val="center"/>
          </w:tcPr>
          <w:p w14:paraId="07B903FA" w14:textId="77777777" w:rsidR="00A15FBE" w:rsidRDefault="00000000">
            <w:pPr>
              <w:spacing w:line="260" w:lineRule="auto"/>
            </w:pPr>
            <w:r>
              <w:rPr>
                <w:sz w:val="19"/>
                <w:szCs w:val="19"/>
              </w:rPr>
              <w:t>Open; undrilled below 40 m and toward Giesecke</w:t>
            </w:r>
          </w:p>
        </w:tc>
      </w:tr>
      <w:tr w:rsidR="00A15FBE" w14:paraId="3E5F5451" w14:textId="77777777">
        <w:tblPrEx>
          <w:tblCellMar>
            <w:top w:w="0" w:type="dxa"/>
            <w:bottom w:w="0" w:type="dxa"/>
          </w:tblCellMar>
        </w:tblPrEx>
        <w:trPr>
          <w:gridAfter w:val="1"/>
          <w:wAfter w:w="29" w:type="dxa"/>
        </w:trPr>
        <w:tc>
          <w:tcPr>
            <w:tcW w:w="4200" w:type="dxa"/>
            <w:gridSpan w:val="2"/>
            <w:shd w:val="clear" w:color="auto" w:fill="FFFFFF"/>
            <w:tcMar>
              <w:top w:w="60" w:type="dxa"/>
              <w:left w:w="110" w:type="dxa"/>
              <w:bottom w:w="60" w:type="dxa"/>
              <w:right w:w="110" w:type="dxa"/>
            </w:tcMar>
            <w:vAlign w:val="center"/>
          </w:tcPr>
          <w:p w14:paraId="532770DC" w14:textId="77777777" w:rsidR="00A15FBE" w:rsidRDefault="00000000">
            <w:pPr>
              <w:spacing w:line="260" w:lineRule="auto"/>
            </w:pPr>
            <w:r>
              <w:rPr>
                <w:sz w:val="19"/>
                <w:szCs w:val="19"/>
              </w:rPr>
              <w:t>Mineral tenure (2026)</w:t>
            </w:r>
          </w:p>
        </w:tc>
        <w:tc>
          <w:tcPr>
            <w:tcW w:w="5160" w:type="dxa"/>
            <w:shd w:val="clear" w:color="auto" w:fill="FFFFFF"/>
            <w:tcMar>
              <w:top w:w="60" w:type="dxa"/>
              <w:left w:w="110" w:type="dxa"/>
              <w:bottom w:w="60" w:type="dxa"/>
              <w:right w:w="110" w:type="dxa"/>
            </w:tcMar>
            <w:vAlign w:val="center"/>
          </w:tcPr>
          <w:p w14:paraId="2B217A58" w14:textId="77777777" w:rsidR="00A15FBE" w:rsidRDefault="00000000">
            <w:pPr>
              <w:spacing w:line="260" w:lineRule="auto"/>
            </w:pPr>
            <w:r>
              <w:rPr>
                <w:sz w:val="19"/>
                <w:szCs w:val="19"/>
              </w:rPr>
              <w:t>To be verified — priority due-diligence item</w:t>
            </w:r>
          </w:p>
        </w:tc>
      </w:tr>
      <w:tr w:rsidR="00A15FBE" w14:paraId="23916A5E" w14:textId="77777777">
        <w:tblPrEx>
          <w:tblCellMar>
            <w:top w:w="0" w:type="dxa"/>
            <w:bottom w:w="0" w:type="dxa"/>
          </w:tblCellMar>
        </w:tblPrEx>
        <w:trPr>
          <w:gridAfter w:val="1"/>
          <w:wAfter w:w="29" w:type="dxa"/>
        </w:trPr>
        <w:tc>
          <w:tcPr>
            <w:tcW w:w="4200" w:type="dxa"/>
            <w:gridSpan w:val="2"/>
            <w:shd w:val="clear" w:color="auto" w:fill="EEF3F9"/>
            <w:tcMar>
              <w:top w:w="60" w:type="dxa"/>
              <w:left w:w="110" w:type="dxa"/>
              <w:bottom w:w="60" w:type="dxa"/>
              <w:right w:w="110" w:type="dxa"/>
            </w:tcMar>
            <w:vAlign w:val="center"/>
          </w:tcPr>
          <w:p w14:paraId="6A3272CD" w14:textId="77777777" w:rsidR="00A15FBE" w:rsidRDefault="00000000">
            <w:pPr>
              <w:spacing w:line="260" w:lineRule="auto"/>
            </w:pPr>
            <w:r>
              <w:rPr>
                <w:sz w:val="19"/>
                <w:szCs w:val="19"/>
              </w:rPr>
              <w:t>Environmental / social baseline</w:t>
            </w:r>
          </w:p>
        </w:tc>
        <w:tc>
          <w:tcPr>
            <w:tcW w:w="5160" w:type="dxa"/>
            <w:shd w:val="clear" w:color="auto" w:fill="EEF3F9"/>
            <w:tcMar>
              <w:top w:w="60" w:type="dxa"/>
              <w:left w:w="110" w:type="dxa"/>
              <w:bottom w:w="60" w:type="dxa"/>
              <w:right w:w="110" w:type="dxa"/>
            </w:tcMar>
            <w:vAlign w:val="center"/>
          </w:tcPr>
          <w:p w14:paraId="2C6B1856" w14:textId="77777777" w:rsidR="00A15FBE" w:rsidRDefault="00000000">
            <w:pPr>
              <w:spacing w:line="260" w:lineRule="auto"/>
            </w:pPr>
            <w:r>
              <w:rPr>
                <w:sz w:val="19"/>
                <w:szCs w:val="19"/>
              </w:rPr>
              <w:t>None</w:t>
            </w:r>
          </w:p>
        </w:tc>
      </w:tr>
      <w:tr w:rsidR="00A15FBE" w14:paraId="502B2004" w14:textId="77777777">
        <w:tblPrEx>
          <w:tblBorders>
            <w:top w:val="single" w:sz="2" w:space="0" w:color="C98A00"/>
            <w:left w:val="single" w:sz="24" w:space="0" w:color="C98A00"/>
            <w:bottom w:val="single" w:sz="2" w:space="0" w:color="C98A00"/>
            <w:right w:val="single" w:sz="2" w:space="0" w:color="C98A00"/>
            <w:insideH w:val="single" w:sz="4" w:space="0" w:color="auto"/>
            <w:insideV w:val="single" w:sz="4" w:space="0" w:color="auto"/>
          </w:tblBorders>
          <w:tblCellMar>
            <w:top w:w="0" w:type="dxa"/>
            <w:bottom w:w="0" w:type="dxa"/>
          </w:tblCellMar>
        </w:tblPrEx>
        <w:trPr>
          <w:gridBefore w:val="1"/>
          <w:wBefore w:w="29" w:type="dxa"/>
        </w:trPr>
        <w:tc>
          <w:tcPr>
            <w:tcW w:w="9360" w:type="dxa"/>
            <w:gridSpan w:val="3"/>
            <w:shd w:val="clear" w:color="auto" w:fill="FCEFD2"/>
            <w:tcMar>
              <w:top w:w="140" w:type="dxa"/>
              <w:left w:w="200" w:type="dxa"/>
              <w:bottom w:w="140" w:type="dxa"/>
              <w:right w:w="160" w:type="dxa"/>
            </w:tcMar>
          </w:tcPr>
          <w:p w14:paraId="1CAA6ACC" w14:textId="77777777" w:rsidR="00A15FBE" w:rsidRDefault="00000000">
            <w:pPr>
              <w:spacing w:after="80"/>
            </w:pPr>
            <w:r>
              <w:rPr>
                <w:b/>
                <w:bCs/>
                <w:color w:val="C98A00"/>
                <w:sz w:val="22"/>
                <w:szCs w:val="22"/>
              </w:rPr>
              <w:t>Tenure and data access come first</w:t>
            </w:r>
          </w:p>
          <w:p w14:paraId="50CFD4FF" w14:textId="77777777" w:rsidR="00A15FBE" w:rsidRDefault="00000000">
            <w:pPr>
              <w:spacing w:line="268" w:lineRule="auto"/>
              <w:jc w:val="both"/>
            </w:pPr>
            <w:r>
              <w:t xml:space="preserve">Two early questions govern everything else. First, </w:t>
            </w:r>
            <w:r>
              <w:rPr>
                <w:b/>
                <w:bCs/>
              </w:rPr>
              <w:t>tenure</w:t>
            </w:r>
            <w:r>
              <w:t xml:space="preserve">: the most recent named licence holder in the public record is Graphite Field Resources Ltd (as at the 2019 GEUS review); the current 2026 standing of any exclusive licence over </w:t>
            </w:r>
            <w:proofErr w:type="spellStart"/>
            <w:r>
              <w:t>Akuliaruseq</w:t>
            </w:r>
            <w:proofErr w:type="spellEnd"/>
            <w:r>
              <w:t xml:space="preserve"> must be confirmed with the Greenland Mineral Resources Authority (MRA) before technical spend is committed. Second, </w:t>
            </w:r>
            <w:r>
              <w:rPr>
                <w:b/>
                <w:bCs/>
              </w:rPr>
              <w:t>data access</w:t>
            </w:r>
            <w:r>
              <w:t>: the original Øresund A/S drill core is reported to be archived and accessible at GEUS, and the historic company reports survive. Securing that core and data — for re-logging, twinning and modern Cg/flake assay — is the cheapest, fastest way to begin converting history into a compliant resource.</w:t>
            </w:r>
          </w:p>
        </w:tc>
      </w:tr>
    </w:tbl>
    <w:p w14:paraId="21780A14" w14:textId="77777777" w:rsidR="00A15FBE" w:rsidRDefault="00000000">
      <w:pPr>
        <w:pStyle w:val="Heading1"/>
      </w:pPr>
      <w:r>
        <w:t>8. Context: Greenland and Peer Graphite Projects</w:t>
      </w:r>
    </w:p>
    <w:p w14:paraId="152765D4" w14:textId="77777777" w:rsidR="00A15FBE" w:rsidRDefault="00000000">
      <w:pPr>
        <w:spacing w:after="140" w:line="276" w:lineRule="auto"/>
        <w:jc w:val="both"/>
      </w:pPr>
      <w:r>
        <w:t xml:space="preserve">Greenland has one past graphite mine — </w:t>
      </w:r>
      <w:proofErr w:type="spellStart"/>
      <w:r>
        <w:t>Amitsoq</w:t>
      </w:r>
      <w:proofErr w:type="spellEnd"/>
      <w:r>
        <w:t xml:space="preserve">, near Nanortalik, which produced roughly 6,000 tonnes of high-grade ore between 1914 and 1924 and is now held by Alba Mineral Resources. The wider island hosts numerous graphite occurrences (Giesecke, </w:t>
      </w:r>
      <w:proofErr w:type="spellStart"/>
      <w:r>
        <w:t>Ataneq</w:t>
      </w:r>
      <w:proofErr w:type="spellEnd"/>
      <w:r>
        <w:t xml:space="preserve">, </w:t>
      </w:r>
      <w:proofErr w:type="spellStart"/>
      <w:r>
        <w:t>Maligiaq</w:t>
      </w:r>
      <w:proofErr w:type="spellEnd"/>
      <w:r>
        <w:t xml:space="preserve">, </w:t>
      </w:r>
      <w:proofErr w:type="spellStart"/>
      <w:r>
        <w:t>Utoqqat</w:t>
      </w:r>
      <w:proofErr w:type="spellEnd"/>
      <w:r>
        <w:t xml:space="preserve">, </w:t>
      </w:r>
      <w:proofErr w:type="spellStart"/>
      <w:r>
        <w:lastRenderedPageBreak/>
        <w:t>Auppaluttoq</w:t>
      </w:r>
      <w:proofErr w:type="spellEnd"/>
      <w:r>
        <w:t xml:space="preserve">, </w:t>
      </w:r>
      <w:proofErr w:type="spellStart"/>
      <w:r>
        <w:t>Kangikajik</w:t>
      </w:r>
      <w:proofErr w:type="spellEnd"/>
      <w:r>
        <w:t xml:space="preserve"> and others), but most are early-stage. Against that backdrop </w:t>
      </w:r>
      <w:proofErr w:type="spellStart"/>
      <w:r>
        <w:t>Akuliaruseq</w:t>
      </w:r>
      <w:proofErr w:type="spellEnd"/>
      <w:r>
        <w:t xml:space="preserve"> stands out as the only Greenland graphite occurrence with substantial drilling and pilot-plant metallurgy behind it.</w:t>
      </w:r>
    </w:p>
    <w:p w14:paraId="237A3136" w14:textId="77777777" w:rsidR="00A15FBE" w:rsidRDefault="00000000">
      <w:pPr>
        <w:spacing w:after="140" w:line="276" w:lineRule="auto"/>
        <w:jc w:val="both"/>
      </w:pPr>
      <w:r>
        <w:t xml:space="preserve">Against global flake developers, </w:t>
      </w:r>
      <w:proofErr w:type="spellStart"/>
      <w:r>
        <w:t>Akuliaruseq’s</w:t>
      </w:r>
      <w:proofErr w:type="spellEnd"/>
      <w:r>
        <w:t xml:space="preserve"> ~6% Cg grade is mid-range and its coarse-flake profile is competitive, but its sulphide content compares unfavourably with the low-sulphur, high-flake projects (for example in Africa) that the market currently favours. Its differentiators are jurisdiction (a stable, Western-aligned Arctic location with deep-water shipping) and the maturity of its historic dataset — not grade.</w:t>
      </w:r>
    </w:p>
    <w:p w14:paraId="21BEAB20" w14:textId="77777777" w:rsidR="00A15FBE" w:rsidRDefault="00000000">
      <w:pPr>
        <w:pStyle w:val="Heading1"/>
      </w:pPr>
      <w:r>
        <w:t>9. Market and Strategic Context</w:t>
      </w:r>
    </w:p>
    <w:p w14:paraId="2AB7C18B" w14:textId="77777777" w:rsidR="00A15FBE" w:rsidRDefault="00000000">
      <w:pPr>
        <w:spacing w:after="140" w:line="276" w:lineRule="auto"/>
        <w:jc w:val="both"/>
      </w:pPr>
      <w:r>
        <w:t>Graphite is the single largest component by mass in a lithium-ion battery (roughly 50–100 kg per electric vehicle), and battery anodes are forecast to grow from under a third of graphite consumption today toward roughly two-thirds within a decade. The strategic logic for non-Chinese flake supply is strong. The near-term market, however, is difficult, and an honest investor briefing must hold both facts together.</w:t>
      </w:r>
    </w:p>
    <w:p w14:paraId="6688BFF2" w14:textId="77777777" w:rsidR="00A15FBE" w:rsidRDefault="00000000">
      <w:pPr>
        <w:pStyle w:val="ListParagraph"/>
        <w:numPr>
          <w:ilvl w:val="0"/>
          <w:numId w:val="3"/>
        </w:numPr>
        <w:spacing w:after="90" w:line="272" w:lineRule="auto"/>
      </w:pPr>
      <w:r>
        <w:rPr>
          <w:b/>
          <w:bCs/>
        </w:rPr>
        <w:t xml:space="preserve">Chinese dominance. </w:t>
      </w:r>
      <w:r>
        <w:t>China accounts for the large majority of natural-graphite mining and an overwhelming share of downstream processing — on the order of 85–90% of spherical graphite and over 95% of synthetic anode material. Even non-Chinese flake is, in practice, processed in China before becoming battery-grade anode.</w:t>
      </w:r>
    </w:p>
    <w:p w14:paraId="27388793" w14:textId="77777777" w:rsidR="00A15FBE" w:rsidRDefault="00000000">
      <w:pPr>
        <w:pStyle w:val="ListParagraph"/>
        <w:numPr>
          <w:ilvl w:val="0"/>
          <w:numId w:val="3"/>
        </w:numPr>
        <w:spacing w:after="90" w:line="272" w:lineRule="auto"/>
      </w:pPr>
      <w:r>
        <w:rPr>
          <w:b/>
          <w:bCs/>
        </w:rPr>
        <w:t xml:space="preserve">Export-control overhang. </w:t>
      </w:r>
      <w:r>
        <w:t>In late 2025 China moved to place battery materials and synthetic-graphite anode material on its export-control list, then suspended the measures as part of a trade truce. As of mid-2026 material is flowing freely, but the suspension is widely reported to lapse around November 2026, creating a known policy cliff and the prospect of renewed volatility.</w:t>
      </w:r>
    </w:p>
    <w:p w14:paraId="3EB5D204" w14:textId="77777777" w:rsidR="00A15FBE" w:rsidRDefault="00000000">
      <w:pPr>
        <w:pStyle w:val="ListParagraph"/>
        <w:numPr>
          <w:ilvl w:val="0"/>
          <w:numId w:val="3"/>
        </w:numPr>
        <w:spacing w:after="90" w:line="272" w:lineRule="auto"/>
      </w:pPr>
      <w:r>
        <w:rPr>
          <w:b/>
          <w:bCs/>
        </w:rPr>
        <w:t xml:space="preserve">Soft prices, oversupply. </w:t>
      </w:r>
      <w:r>
        <w:t>Chinese over-supply pushed natural-flake and spherical-graphite prices to multi-year lows through 2025–26. Demand growth is real but is currently outrun by supply; the investment case rests on the medium-term structural deficit in non-Chinese supply, not on today’s spot price.</w:t>
      </w:r>
    </w:p>
    <w:p w14:paraId="6046C575" w14:textId="77777777" w:rsidR="00A15FBE" w:rsidRDefault="00000000">
      <w:pPr>
        <w:pStyle w:val="ListParagraph"/>
        <w:numPr>
          <w:ilvl w:val="0"/>
          <w:numId w:val="3"/>
        </w:numPr>
        <w:spacing w:after="90" w:line="272" w:lineRule="auto"/>
      </w:pPr>
      <w:r>
        <w:rPr>
          <w:b/>
          <w:bCs/>
        </w:rPr>
        <w:t xml:space="preserve">Premiums and preferences. </w:t>
      </w:r>
      <w:r>
        <w:t xml:space="preserve">Large and jumbo flake, high purity and </w:t>
      </w:r>
      <w:r>
        <w:rPr>
          <w:b/>
          <w:bCs/>
        </w:rPr>
        <w:t>low sulphur</w:t>
      </w:r>
      <w:r>
        <w:t xml:space="preserve"> attract clear pricing and qualification advantages. Western policy support (EU Critical Raw Materials Act designations; US critical-minerals programmes; renewed strategic interest in Greenland) favours qualifying non-Chinese supply.</w:t>
      </w:r>
    </w:p>
    <w:p w14:paraId="161209D3" w14:textId="77777777" w:rsidR="00A15FBE" w:rsidRDefault="00000000">
      <w:pPr>
        <w:pStyle w:val="ListParagraph"/>
        <w:numPr>
          <w:ilvl w:val="0"/>
          <w:numId w:val="3"/>
        </w:numPr>
        <w:spacing w:after="90" w:line="272" w:lineRule="auto"/>
      </w:pPr>
      <w:r>
        <w:rPr>
          <w:b/>
          <w:bCs/>
        </w:rPr>
        <w:t xml:space="preserve">Technology risk. </w:t>
      </w:r>
      <w:r>
        <w:t>Silicon-carbon composite anodes are advancing and could moderate long-run graphite intensity per battery — a genuine, if uncertain, demand-side risk to weigh.</w:t>
      </w:r>
    </w:p>
    <w:tbl>
      <w:tblPr>
        <w:tblW w:w="9360" w:type="dxa"/>
        <w:tblBorders>
          <w:top w:val="single" w:sz="2" w:space="0" w:color="2D6A4F"/>
          <w:left w:val="single" w:sz="2" w:space="0" w:color="2D6A4F"/>
          <w:bottom w:val="single" w:sz="2" w:space="0" w:color="2D6A4F"/>
          <w:right w:val="single" w:sz="2" w:space="0" w:color="2D6A4F"/>
          <w:insideH w:val="single" w:sz="4" w:space="0" w:color="auto"/>
          <w:insideV w:val="single" w:sz="4" w:space="0" w:color="auto"/>
        </w:tblBorders>
        <w:shd w:val="clear" w:color="auto" w:fill="D9F2D0" w:themeFill="accent6" w:themeFillTint="33"/>
        <w:tblCellMar>
          <w:left w:w="10" w:type="dxa"/>
          <w:right w:w="10" w:type="dxa"/>
        </w:tblCellMar>
        <w:tblLook w:val="0000" w:firstRow="0" w:lastRow="0" w:firstColumn="0" w:lastColumn="0" w:noHBand="0" w:noVBand="0"/>
      </w:tblPr>
      <w:tblGrid>
        <w:gridCol w:w="9360"/>
      </w:tblGrid>
      <w:tr w:rsidR="00A15FBE" w:rsidRPr="000164C3" w14:paraId="7960C43D" w14:textId="77777777" w:rsidTr="000164C3">
        <w:tblPrEx>
          <w:tblCellMar>
            <w:top w:w="0" w:type="dxa"/>
            <w:bottom w:w="0" w:type="dxa"/>
          </w:tblCellMar>
        </w:tblPrEx>
        <w:tc>
          <w:tcPr>
            <w:tcW w:w="9360" w:type="dxa"/>
            <w:shd w:val="clear" w:color="auto" w:fill="D9F2D0" w:themeFill="accent6" w:themeFillTint="33"/>
            <w:tcMar>
              <w:top w:w="160" w:type="dxa"/>
              <w:left w:w="200" w:type="dxa"/>
              <w:bottom w:w="160" w:type="dxa"/>
              <w:right w:w="200" w:type="dxa"/>
            </w:tcMar>
          </w:tcPr>
          <w:p w14:paraId="4D0FA1D8" w14:textId="77777777" w:rsidR="00A15FBE" w:rsidRPr="000164C3" w:rsidRDefault="00000000">
            <w:pPr>
              <w:spacing w:after="80"/>
              <w:rPr>
                <w:color w:val="000000" w:themeColor="text1"/>
              </w:rPr>
            </w:pPr>
            <w:r w:rsidRPr="000164C3">
              <w:rPr>
                <w:b/>
                <w:bCs/>
                <w:color w:val="000000" w:themeColor="text1"/>
                <w:sz w:val="22"/>
                <w:szCs w:val="22"/>
              </w:rPr>
              <w:t>QP Opinion 3</w:t>
            </w:r>
          </w:p>
          <w:p w14:paraId="6BC0AC2A" w14:textId="77777777" w:rsidR="00A15FBE" w:rsidRPr="000164C3" w:rsidRDefault="00000000">
            <w:pPr>
              <w:spacing w:line="268" w:lineRule="auto"/>
              <w:jc w:val="both"/>
              <w:rPr>
                <w:color w:val="000000" w:themeColor="text1"/>
              </w:rPr>
            </w:pPr>
            <w:r w:rsidRPr="000164C3">
              <w:rPr>
                <w:color w:val="000000" w:themeColor="text1"/>
              </w:rPr>
              <w:t xml:space="preserve">The macro case for a Western-aligned flake-graphite asset is sound on a five-to-ten-year view, and Greenland’s strategic profile is currently a tailwind for financing. But two market realities bear directly on </w:t>
            </w:r>
            <w:proofErr w:type="spellStart"/>
            <w:r w:rsidRPr="000164C3">
              <w:rPr>
                <w:color w:val="000000" w:themeColor="text1"/>
              </w:rPr>
              <w:t>Akuliaruseq</w:t>
            </w:r>
            <w:proofErr w:type="spellEnd"/>
            <w:r w:rsidRPr="000164C3">
              <w:rPr>
                <w:color w:val="000000" w:themeColor="text1"/>
              </w:rPr>
              <w:t xml:space="preserve"> specifically: today’s prices are weak, and the market is actively discriminating in favour of low-sulphur, large-flake product. </w:t>
            </w:r>
            <w:proofErr w:type="spellStart"/>
            <w:r w:rsidRPr="000164C3">
              <w:rPr>
                <w:color w:val="000000" w:themeColor="text1"/>
              </w:rPr>
              <w:t>Akuliaruseq</w:t>
            </w:r>
            <w:proofErr w:type="spellEnd"/>
            <w:r w:rsidRPr="000164C3">
              <w:rPr>
                <w:color w:val="000000" w:themeColor="text1"/>
              </w:rPr>
              <w:t xml:space="preserve"> scores well on flake size and jurisdiction and poorly on sulphur. The investment thesis should therefore be built on the </w:t>
            </w:r>
            <w:r w:rsidRPr="000164C3">
              <w:rPr>
                <w:color w:val="000000" w:themeColor="text1"/>
              </w:rPr>
              <w:lastRenderedPageBreak/>
              <w:t>medium-term non-Chinese supply deficit and the project’s flake quality — with sulphur management treated as a core technical objective, not a footnote.</w:t>
            </w:r>
          </w:p>
          <w:p w14:paraId="5999B926" w14:textId="77777777" w:rsidR="00A15FBE" w:rsidRPr="000164C3" w:rsidRDefault="00000000">
            <w:pPr>
              <w:spacing w:before="100"/>
              <w:rPr>
                <w:color w:val="000000" w:themeColor="text1"/>
              </w:rPr>
            </w:pPr>
            <w:r w:rsidRPr="000164C3">
              <w:rPr>
                <w:i/>
                <w:iCs/>
                <w:color w:val="000000" w:themeColor="text1"/>
                <w:sz w:val="18"/>
                <w:szCs w:val="18"/>
              </w:rPr>
              <w:t>Malcolm Castle, MAusIMM (CP Geo) — Qualified Person, Agricola Mining Consultants Pty Ltd</w:t>
            </w:r>
          </w:p>
        </w:tc>
      </w:tr>
    </w:tbl>
    <w:p w14:paraId="10554569" w14:textId="77777777" w:rsidR="00A15FBE" w:rsidRDefault="00000000">
      <w:pPr>
        <w:pStyle w:val="Heading1"/>
      </w:pPr>
      <w:r>
        <w:lastRenderedPageBreak/>
        <w:t>10. Key Risks</w:t>
      </w: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000" w:firstRow="0" w:lastRow="0" w:firstColumn="0" w:lastColumn="0" w:noHBand="0" w:noVBand="0"/>
      </w:tblPr>
      <w:tblGrid>
        <w:gridCol w:w="2500"/>
        <w:gridCol w:w="1500"/>
        <w:gridCol w:w="5360"/>
      </w:tblGrid>
      <w:tr w:rsidR="00A15FBE" w14:paraId="31BA0558" w14:textId="77777777">
        <w:tblPrEx>
          <w:tblCellMar>
            <w:top w:w="0" w:type="dxa"/>
            <w:bottom w:w="0" w:type="dxa"/>
          </w:tblCellMar>
        </w:tblPrEx>
        <w:trPr>
          <w:tblHeader/>
        </w:trPr>
        <w:tc>
          <w:tcPr>
            <w:tcW w:w="2500" w:type="dxa"/>
            <w:shd w:val="clear" w:color="auto" w:fill="1B3A5C"/>
            <w:tcMar>
              <w:top w:w="70" w:type="dxa"/>
              <w:left w:w="110" w:type="dxa"/>
              <w:bottom w:w="70" w:type="dxa"/>
              <w:right w:w="110" w:type="dxa"/>
            </w:tcMar>
            <w:vAlign w:val="center"/>
          </w:tcPr>
          <w:p w14:paraId="32547A2D" w14:textId="77777777" w:rsidR="00A15FBE" w:rsidRDefault="00000000">
            <w:r>
              <w:rPr>
                <w:b/>
                <w:bCs/>
                <w:color w:val="FFFFFF"/>
                <w:sz w:val="19"/>
                <w:szCs w:val="19"/>
              </w:rPr>
              <w:t>Risk</w:t>
            </w:r>
          </w:p>
        </w:tc>
        <w:tc>
          <w:tcPr>
            <w:tcW w:w="1500" w:type="dxa"/>
            <w:shd w:val="clear" w:color="auto" w:fill="1B3A5C"/>
            <w:tcMar>
              <w:top w:w="70" w:type="dxa"/>
              <w:left w:w="110" w:type="dxa"/>
              <w:bottom w:w="70" w:type="dxa"/>
              <w:right w:w="110" w:type="dxa"/>
            </w:tcMar>
            <w:vAlign w:val="center"/>
          </w:tcPr>
          <w:p w14:paraId="6DDFF08E" w14:textId="77777777" w:rsidR="00A15FBE" w:rsidRDefault="00000000">
            <w:r>
              <w:rPr>
                <w:b/>
                <w:bCs/>
                <w:color w:val="FFFFFF"/>
                <w:sz w:val="19"/>
                <w:szCs w:val="19"/>
              </w:rPr>
              <w:t>Assessment</w:t>
            </w:r>
          </w:p>
        </w:tc>
        <w:tc>
          <w:tcPr>
            <w:tcW w:w="5360" w:type="dxa"/>
            <w:shd w:val="clear" w:color="auto" w:fill="1B3A5C"/>
            <w:tcMar>
              <w:top w:w="70" w:type="dxa"/>
              <w:left w:w="110" w:type="dxa"/>
              <w:bottom w:w="70" w:type="dxa"/>
              <w:right w:w="110" w:type="dxa"/>
            </w:tcMar>
            <w:vAlign w:val="center"/>
          </w:tcPr>
          <w:p w14:paraId="431C5A1E" w14:textId="77777777" w:rsidR="00A15FBE" w:rsidRDefault="00000000">
            <w:r>
              <w:rPr>
                <w:b/>
                <w:bCs/>
                <w:color w:val="FFFFFF"/>
                <w:sz w:val="19"/>
                <w:szCs w:val="19"/>
              </w:rPr>
              <w:t>Comment</w:t>
            </w:r>
          </w:p>
        </w:tc>
      </w:tr>
      <w:tr w:rsidR="00A15FBE" w14:paraId="246C8B6F" w14:textId="77777777">
        <w:tblPrEx>
          <w:tblCellMar>
            <w:top w:w="0" w:type="dxa"/>
            <w:bottom w:w="0" w:type="dxa"/>
          </w:tblCellMar>
        </w:tblPrEx>
        <w:tc>
          <w:tcPr>
            <w:tcW w:w="2500" w:type="dxa"/>
            <w:shd w:val="clear" w:color="auto" w:fill="FFFFFF"/>
            <w:tcMar>
              <w:top w:w="60" w:type="dxa"/>
              <w:left w:w="110" w:type="dxa"/>
              <w:bottom w:w="60" w:type="dxa"/>
              <w:right w:w="110" w:type="dxa"/>
            </w:tcMar>
            <w:vAlign w:val="center"/>
          </w:tcPr>
          <w:p w14:paraId="486BCFA5" w14:textId="77777777" w:rsidR="00A15FBE" w:rsidRDefault="00000000">
            <w:pPr>
              <w:spacing w:line="260" w:lineRule="auto"/>
            </w:pPr>
            <w:r>
              <w:rPr>
                <w:sz w:val="19"/>
                <w:szCs w:val="19"/>
              </w:rPr>
              <w:t>Resource (non-compliant data)</w:t>
            </w:r>
          </w:p>
        </w:tc>
        <w:tc>
          <w:tcPr>
            <w:tcW w:w="1500" w:type="dxa"/>
            <w:shd w:val="clear" w:color="auto" w:fill="FFFFFF"/>
            <w:tcMar>
              <w:top w:w="60" w:type="dxa"/>
              <w:left w:w="110" w:type="dxa"/>
              <w:bottom w:w="60" w:type="dxa"/>
              <w:right w:w="110" w:type="dxa"/>
            </w:tcMar>
            <w:vAlign w:val="center"/>
          </w:tcPr>
          <w:p w14:paraId="6B09BC23" w14:textId="77777777" w:rsidR="00A15FBE" w:rsidRDefault="00000000">
            <w:pPr>
              <w:spacing w:line="260" w:lineRule="auto"/>
            </w:pPr>
            <w:r>
              <w:rPr>
                <w:b/>
                <w:bCs/>
              </w:rPr>
              <w:t>High</w:t>
            </w:r>
          </w:p>
        </w:tc>
        <w:tc>
          <w:tcPr>
            <w:tcW w:w="5360" w:type="dxa"/>
            <w:shd w:val="clear" w:color="auto" w:fill="FFFFFF"/>
            <w:tcMar>
              <w:top w:w="60" w:type="dxa"/>
              <w:left w:w="110" w:type="dxa"/>
              <w:bottom w:w="60" w:type="dxa"/>
              <w:right w:w="110" w:type="dxa"/>
            </w:tcMar>
            <w:vAlign w:val="center"/>
          </w:tcPr>
          <w:p w14:paraId="6F838AB1" w14:textId="77777777" w:rsidR="00A15FBE" w:rsidRDefault="00000000">
            <w:pPr>
              <w:spacing w:line="260" w:lineRule="auto"/>
            </w:pPr>
            <w:r>
              <w:rPr>
                <w:sz w:val="19"/>
                <w:szCs w:val="19"/>
              </w:rPr>
              <w:t>No current estimate; historic, LOI-based, drilled only to 40 m</w:t>
            </w:r>
          </w:p>
        </w:tc>
      </w:tr>
      <w:tr w:rsidR="00A15FBE" w14:paraId="74FBAC0B" w14:textId="77777777">
        <w:tblPrEx>
          <w:tblCellMar>
            <w:top w:w="0" w:type="dxa"/>
            <w:bottom w:w="0" w:type="dxa"/>
          </w:tblCellMar>
        </w:tblPrEx>
        <w:tc>
          <w:tcPr>
            <w:tcW w:w="2500" w:type="dxa"/>
            <w:shd w:val="clear" w:color="auto" w:fill="EEF3F9"/>
            <w:tcMar>
              <w:top w:w="60" w:type="dxa"/>
              <w:left w:w="110" w:type="dxa"/>
              <w:bottom w:w="60" w:type="dxa"/>
              <w:right w:w="110" w:type="dxa"/>
            </w:tcMar>
            <w:vAlign w:val="center"/>
          </w:tcPr>
          <w:p w14:paraId="732DE0C9" w14:textId="77777777" w:rsidR="00A15FBE" w:rsidRDefault="00000000">
            <w:pPr>
              <w:spacing w:line="260" w:lineRule="auto"/>
            </w:pPr>
            <w:r>
              <w:rPr>
                <w:sz w:val="19"/>
                <w:szCs w:val="19"/>
              </w:rPr>
              <w:t>Grade representivity</w:t>
            </w:r>
          </w:p>
        </w:tc>
        <w:tc>
          <w:tcPr>
            <w:tcW w:w="1500" w:type="dxa"/>
            <w:shd w:val="clear" w:color="auto" w:fill="EEF3F9"/>
            <w:tcMar>
              <w:top w:w="60" w:type="dxa"/>
              <w:left w:w="110" w:type="dxa"/>
              <w:bottom w:w="60" w:type="dxa"/>
              <w:right w:w="110" w:type="dxa"/>
            </w:tcMar>
            <w:vAlign w:val="center"/>
          </w:tcPr>
          <w:p w14:paraId="42157974" w14:textId="77777777" w:rsidR="00A15FBE" w:rsidRDefault="00000000">
            <w:pPr>
              <w:spacing w:line="260" w:lineRule="auto"/>
            </w:pPr>
            <w:r>
              <w:rPr>
                <w:b/>
                <w:bCs/>
              </w:rPr>
              <w:t>Medium</w:t>
            </w:r>
          </w:p>
        </w:tc>
        <w:tc>
          <w:tcPr>
            <w:tcW w:w="5360" w:type="dxa"/>
            <w:shd w:val="clear" w:color="auto" w:fill="EEF3F9"/>
            <w:tcMar>
              <w:top w:w="60" w:type="dxa"/>
              <w:left w:w="110" w:type="dxa"/>
              <w:bottom w:w="60" w:type="dxa"/>
              <w:right w:w="110" w:type="dxa"/>
            </w:tcMar>
            <w:vAlign w:val="center"/>
          </w:tcPr>
          <w:p w14:paraId="4CE12956" w14:textId="77777777" w:rsidR="00A15FBE" w:rsidRDefault="00000000">
            <w:pPr>
              <w:spacing w:line="260" w:lineRule="auto"/>
            </w:pPr>
            <w:r>
              <w:rPr>
                <w:sz w:val="19"/>
                <w:szCs w:val="19"/>
              </w:rPr>
              <w:t>Defensible grade ~6% Cg, not the ~9.5% LOI headline</w:t>
            </w:r>
          </w:p>
        </w:tc>
      </w:tr>
      <w:tr w:rsidR="00A15FBE" w14:paraId="04F342AF" w14:textId="77777777">
        <w:tblPrEx>
          <w:tblCellMar>
            <w:top w:w="0" w:type="dxa"/>
            <w:bottom w:w="0" w:type="dxa"/>
          </w:tblCellMar>
        </w:tblPrEx>
        <w:tc>
          <w:tcPr>
            <w:tcW w:w="2500" w:type="dxa"/>
            <w:shd w:val="clear" w:color="auto" w:fill="FFFFFF"/>
            <w:tcMar>
              <w:top w:w="60" w:type="dxa"/>
              <w:left w:w="110" w:type="dxa"/>
              <w:bottom w:w="60" w:type="dxa"/>
              <w:right w:w="110" w:type="dxa"/>
            </w:tcMar>
            <w:vAlign w:val="center"/>
          </w:tcPr>
          <w:p w14:paraId="76042019" w14:textId="77777777" w:rsidR="00A15FBE" w:rsidRDefault="00000000">
            <w:pPr>
              <w:spacing w:line="260" w:lineRule="auto"/>
            </w:pPr>
            <w:r>
              <w:rPr>
                <w:sz w:val="19"/>
                <w:szCs w:val="19"/>
              </w:rPr>
              <w:t>Metallurgy / sulphur</w:t>
            </w:r>
          </w:p>
        </w:tc>
        <w:tc>
          <w:tcPr>
            <w:tcW w:w="1500" w:type="dxa"/>
            <w:shd w:val="clear" w:color="auto" w:fill="FFFFFF"/>
            <w:tcMar>
              <w:top w:w="60" w:type="dxa"/>
              <w:left w:w="110" w:type="dxa"/>
              <w:bottom w:w="60" w:type="dxa"/>
              <w:right w:w="110" w:type="dxa"/>
            </w:tcMar>
            <w:vAlign w:val="center"/>
          </w:tcPr>
          <w:p w14:paraId="175053E6" w14:textId="77777777" w:rsidR="00A15FBE" w:rsidRDefault="00000000">
            <w:pPr>
              <w:spacing w:line="260" w:lineRule="auto"/>
            </w:pPr>
            <w:r>
              <w:rPr>
                <w:b/>
                <w:bCs/>
              </w:rPr>
              <w:t>Medium</w:t>
            </w:r>
          </w:p>
        </w:tc>
        <w:tc>
          <w:tcPr>
            <w:tcW w:w="5360" w:type="dxa"/>
            <w:shd w:val="clear" w:color="auto" w:fill="FFFFFF"/>
            <w:tcMar>
              <w:top w:w="60" w:type="dxa"/>
              <w:left w:w="110" w:type="dxa"/>
              <w:bottom w:w="60" w:type="dxa"/>
              <w:right w:w="110" w:type="dxa"/>
            </w:tcMar>
            <w:vAlign w:val="center"/>
          </w:tcPr>
          <w:p w14:paraId="7FAF58EC" w14:textId="77777777" w:rsidR="00A15FBE" w:rsidRDefault="00000000">
            <w:pPr>
              <w:spacing w:line="260" w:lineRule="auto"/>
            </w:pPr>
            <w:r>
              <w:rPr>
                <w:sz w:val="19"/>
                <w:szCs w:val="19"/>
              </w:rPr>
              <w:t>Good flake, but sulphide-rich; anode-spec work outstanding</w:t>
            </w:r>
          </w:p>
        </w:tc>
      </w:tr>
      <w:tr w:rsidR="00A15FBE" w14:paraId="2118E8CF" w14:textId="77777777">
        <w:tblPrEx>
          <w:tblCellMar>
            <w:top w:w="0" w:type="dxa"/>
            <w:bottom w:w="0" w:type="dxa"/>
          </w:tblCellMar>
        </w:tblPrEx>
        <w:tc>
          <w:tcPr>
            <w:tcW w:w="2500" w:type="dxa"/>
            <w:shd w:val="clear" w:color="auto" w:fill="EEF3F9"/>
            <w:tcMar>
              <w:top w:w="60" w:type="dxa"/>
              <w:left w:w="110" w:type="dxa"/>
              <w:bottom w:w="60" w:type="dxa"/>
              <w:right w:w="110" w:type="dxa"/>
            </w:tcMar>
            <w:vAlign w:val="center"/>
          </w:tcPr>
          <w:p w14:paraId="0351EB1A" w14:textId="77777777" w:rsidR="00A15FBE" w:rsidRDefault="00000000">
            <w:pPr>
              <w:spacing w:line="260" w:lineRule="auto"/>
            </w:pPr>
            <w:r>
              <w:rPr>
                <w:sz w:val="19"/>
                <w:szCs w:val="19"/>
              </w:rPr>
              <w:t>Tenure</w:t>
            </w:r>
          </w:p>
        </w:tc>
        <w:tc>
          <w:tcPr>
            <w:tcW w:w="1500" w:type="dxa"/>
            <w:shd w:val="clear" w:color="auto" w:fill="EEF3F9"/>
            <w:tcMar>
              <w:top w:w="60" w:type="dxa"/>
              <w:left w:w="110" w:type="dxa"/>
              <w:bottom w:w="60" w:type="dxa"/>
              <w:right w:w="110" w:type="dxa"/>
            </w:tcMar>
            <w:vAlign w:val="center"/>
          </w:tcPr>
          <w:p w14:paraId="78B4E868" w14:textId="77777777" w:rsidR="00A15FBE" w:rsidRDefault="00000000">
            <w:pPr>
              <w:spacing w:line="260" w:lineRule="auto"/>
            </w:pPr>
            <w:r>
              <w:rPr>
                <w:b/>
                <w:bCs/>
              </w:rPr>
              <w:t>High</w:t>
            </w:r>
          </w:p>
        </w:tc>
        <w:tc>
          <w:tcPr>
            <w:tcW w:w="5360" w:type="dxa"/>
            <w:shd w:val="clear" w:color="auto" w:fill="EEF3F9"/>
            <w:tcMar>
              <w:top w:w="60" w:type="dxa"/>
              <w:left w:w="110" w:type="dxa"/>
              <w:bottom w:w="60" w:type="dxa"/>
              <w:right w:w="110" w:type="dxa"/>
            </w:tcMar>
            <w:vAlign w:val="center"/>
          </w:tcPr>
          <w:p w14:paraId="4F44E52E" w14:textId="77777777" w:rsidR="00A15FBE" w:rsidRDefault="00000000">
            <w:pPr>
              <w:spacing w:line="260" w:lineRule="auto"/>
            </w:pPr>
            <w:r>
              <w:rPr>
                <w:sz w:val="19"/>
                <w:szCs w:val="19"/>
              </w:rPr>
              <w:t>2026 licence standing unverified — first DD item</w:t>
            </w:r>
          </w:p>
        </w:tc>
      </w:tr>
      <w:tr w:rsidR="00A15FBE" w14:paraId="49A5E49A" w14:textId="77777777">
        <w:tblPrEx>
          <w:tblCellMar>
            <w:top w:w="0" w:type="dxa"/>
            <w:bottom w:w="0" w:type="dxa"/>
          </w:tblCellMar>
        </w:tblPrEx>
        <w:tc>
          <w:tcPr>
            <w:tcW w:w="2500" w:type="dxa"/>
            <w:shd w:val="clear" w:color="auto" w:fill="FFFFFF"/>
            <w:tcMar>
              <w:top w:w="60" w:type="dxa"/>
              <w:left w:w="110" w:type="dxa"/>
              <w:bottom w:w="60" w:type="dxa"/>
              <w:right w:w="110" w:type="dxa"/>
            </w:tcMar>
            <w:vAlign w:val="center"/>
          </w:tcPr>
          <w:p w14:paraId="53A81188" w14:textId="77777777" w:rsidR="00A15FBE" w:rsidRDefault="00000000">
            <w:pPr>
              <w:spacing w:line="260" w:lineRule="auto"/>
            </w:pPr>
            <w:r>
              <w:rPr>
                <w:sz w:val="19"/>
                <w:szCs w:val="19"/>
              </w:rPr>
              <w:t>Market / price</w:t>
            </w:r>
          </w:p>
        </w:tc>
        <w:tc>
          <w:tcPr>
            <w:tcW w:w="1500" w:type="dxa"/>
            <w:shd w:val="clear" w:color="auto" w:fill="FFFFFF"/>
            <w:tcMar>
              <w:top w:w="60" w:type="dxa"/>
              <w:left w:w="110" w:type="dxa"/>
              <w:bottom w:w="60" w:type="dxa"/>
              <w:right w:w="110" w:type="dxa"/>
            </w:tcMar>
            <w:vAlign w:val="center"/>
          </w:tcPr>
          <w:p w14:paraId="71B5816B" w14:textId="77777777" w:rsidR="00A15FBE" w:rsidRDefault="00000000">
            <w:pPr>
              <w:spacing w:line="260" w:lineRule="auto"/>
            </w:pPr>
            <w:r>
              <w:rPr>
                <w:b/>
                <w:bCs/>
              </w:rPr>
              <w:t>Medium</w:t>
            </w:r>
          </w:p>
        </w:tc>
        <w:tc>
          <w:tcPr>
            <w:tcW w:w="5360" w:type="dxa"/>
            <w:shd w:val="clear" w:color="auto" w:fill="FFFFFF"/>
            <w:tcMar>
              <w:top w:w="60" w:type="dxa"/>
              <w:left w:w="110" w:type="dxa"/>
              <w:bottom w:w="60" w:type="dxa"/>
              <w:right w:w="110" w:type="dxa"/>
            </w:tcMar>
            <w:vAlign w:val="center"/>
          </w:tcPr>
          <w:p w14:paraId="5B32DF1B" w14:textId="77777777" w:rsidR="00A15FBE" w:rsidRDefault="00000000">
            <w:pPr>
              <w:spacing w:line="260" w:lineRule="auto"/>
            </w:pPr>
            <w:r>
              <w:rPr>
                <w:sz w:val="19"/>
                <w:szCs w:val="19"/>
              </w:rPr>
              <w:t>Oversupply, multi-year-low prices; medium-term deficit thesis</w:t>
            </w:r>
          </w:p>
        </w:tc>
      </w:tr>
      <w:tr w:rsidR="00A15FBE" w14:paraId="13377A2B" w14:textId="77777777">
        <w:tblPrEx>
          <w:tblCellMar>
            <w:top w:w="0" w:type="dxa"/>
            <w:bottom w:w="0" w:type="dxa"/>
          </w:tblCellMar>
        </w:tblPrEx>
        <w:tc>
          <w:tcPr>
            <w:tcW w:w="2500" w:type="dxa"/>
            <w:shd w:val="clear" w:color="auto" w:fill="EEF3F9"/>
            <w:tcMar>
              <w:top w:w="60" w:type="dxa"/>
              <w:left w:w="110" w:type="dxa"/>
              <w:bottom w:w="60" w:type="dxa"/>
              <w:right w:w="110" w:type="dxa"/>
            </w:tcMar>
            <w:vAlign w:val="center"/>
          </w:tcPr>
          <w:p w14:paraId="7C3FC0F5" w14:textId="77777777" w:rsidR="00A15FBE" w:rsidRDefault="00000000">
            <w:pPr>
              <w:spacing w:line="260" w:lineRule="auto"/>
            </w:pPr>
            <w:r>
              <w:rPr>
                <w:sz w:val="19"/>
                <w:szCs w:val="19"/>
              </w:rPr>
              <w:t>China policy / export controls</w:t>
            </w:r>
          </w:p>
        </w:tc>
        <w:tc>
          <w:tcPr>
            <w:tcW w:w="1500" w:type="dxa"/>
            <w:shd w:val="clear" w:color="auto" w:fill="EEF3F9"/>
            <w:tcMar>
              <w:top w:w="60" w:type="dxa"/>
              <w:left w:w="110" w:type="dxa"/>
              <w:bottom w:w="60" w:type="dxa"/>
              <w:right w:w="110" w:type="dxa"/>
            </w:tcMar>
            <w:vAlign w:val="center"/>
          </w:tcPr>
          <w:p w14:paraId="34DA6F1D" w14:textId="77777777" w:rsidR="00A15FBE" w:rsidRDefault="00000000">
            <w:pPr>
              <w:spacing w:line="260" w:lineRule="auto"/>
            </w:pPr>
            <w:r>
              <w:rPr>
                <w:b/>
                <w:bCs/>
              </w:rPr>
              <w:t>Medium</w:t>
            </w:r>
          </w:p>
        </w:tc>
        <w:tc>
          <w:tcPr>
            <w:tcW w:w="5360" w:type="dxa"/>
            <w:shd w:val="clear" w:color="auto" w:fill="EEF3F9"/>
            <w:tcMar>
              <w:top w:w="60" w:type="dxa"/>
              <w:left w:w="110" w:type="dxa"/>
              <w:bottom w:w="60" w:type="dxa"/>
              <w:right w:w="110" w:type="dxa"/>
            </w:tcMar>
            <w:vAlign w:val="center"/>
          </w:tcPr>
          <w:p w14:paraId="3AE58BF8" w14:textId="77777777" w:rsidR="00A15FBE" w:rsidRDefault="00000000">
            <w:pPr>
              <w:spacing w:line="260" w:lineRule="auto"/>
            </w:pPr>
            <w:r>
              <w:rPr>
                <w:sz w:val="19"/>
                <w:szCs w:val="19"/>
              </w:rPr>
              <w:t>Suspension lapses ~Nov 2026; processing still China-routed</w:t>
            </w:r>
          </w:p>
        </w:tc>
      </w:tr>
      <w:tr w:rsidR="00A15FBE" w14:paraId="5C31EEA5" w14:textId="77777777">
        <w:tblPrEx>
          <w:tblCellMar>
            <w:top w:w="0" w:type="dxa"/>
            <w:bottom w:w="0" w:type="dxa"/>
          </w:tblCellMar>
        </w:tblPrEx>
        <w:tc>
          <w:tcPr>
            <w:tcW w:w="2500" w:type="dxa"/>
            <w:shd w:val="clear" w:color="auto" w:fill="FFFFFF"/>
            <w:tcMar>
              <w:top w:w="60" w:type="dxa"/>
              <w:left w:w="110" w:type="dxa"/>
              <w:bottom w:w="60" w:type="dxa"/>
              <w:right w:w="110" w:type="dxa"/>
            </w:tcMar>
            <w:vAlign w:val="center"/>
          </w:tcPr>
          <w:p w14:paraId="52568BA0" w14:textId="77777777" w:rsidR="00A15FBE" w:rsidRDefault="00000000">
            <w:pPr>
              <w:spacing w:line="260" w:lineRule="auto"/>
            </w:pPr>
            <w:r>
              <w:rPr>
                <w:sz w:val="19"/>
                <w:szCs w:val="19"/>
              </w:rPr>
              <w:t>Technology (Si-C anodes)</w:t>
            </w:r>
          </w:p>
        </w:tc>
        <w:tc>
          <w:tcPr>
            <w:tcW w:w="1500" w:type="dxa"/>
            <w:shd w:val="clear" w:color="auto" w:fill="FFFFFF"/>
            <w:tcMar>
              <w:top w:w="60" w:type="dxa"/>
              <w:left w:w="110" w:type="dxa"/>
              <w:bottom w:w="60" w:type="dxa"/>
              <w:right w:w="110" w:type="dxa"/>
            </w:tcMar>
            <w:vAlign w:val="center"/>
          </w:tcPr>
          <w:p w14:paraId="5D376851" w14:textId="77777777" w:rsidR="00A15FBE" w:rsidRDefault="00000000">
            <w:pPr>
              <w:spacing w:line="260" w:lineRule="auto"/>
            </w:pPr>
            <w:r>
              <w:rPr>
                <w:b/>
                <w:bCs/>
              </w:rPr>
              <w:t>Medium</w:t>
            </w:r>
          </w:p>
        </w:tc>
        <w:tc>
          <w:tcPr>
            <w:tcW w:w="5360" w:type="dxa"/>
            <w:shd w:val="clear" w:color="auto" w:fill="FFFFFF"/>
            <w:tcMar>
              <w:top w:w="60" w:type="dxa"/>
              <w:left w:w="110" w:type="dxa"/>
              <w:bottom w:w="60" w:type="dxa"/>
              <w:right w:w="110" w:type="dxa"/>
            </w:tcMar>
            <w:vAlign w:val="center"/>
          </w:tcPr>
          <w:p w14:paraId="31A9DA8C" w14:textId="77777777" w:rsidR="00A15FBE" w:rsidRDefault="00000000">
            <w:pPr>
              <w:spacing w:line="260" w:lineRule="auto"/>
            </w:pPr>
            <w:r>
              <w:rPr>
                <w:sz w:val="19"/>
                <w:szCs w:val="19"/>
              </w:rPr>
              <w:t>Could moderate long-run graphite intensity</w:t>
            </w:r>
          </w:p>
        </w:tc>
      </w:tr>
      <w:tr w:rsidR="00A15FBE" w14:paraId="2E0FD564" w14:textId="77777777">
        <w:tblPrEx>
          <w:tblCellMar>
            <w:top w:w="0" w:type="dxa"/>
            <w:bottom w:w="0" w:type="dxa"/>
          </w:tblCellMar>
        </w:tblPrEx>
        <w:tc>
          <w:tcPr>
            <w:tcW w:w="2500" w:type="dxa"/>
            <w:shd w:val="clear" w:color="auto" w:fill="EEF3F9"/>
            <w:tcMar>
              <w:top w:w="60" w:type="dxa"/>
              <w:left w:w="110" w:type="dxa"/>
              <w:bottom w:w="60" w:type="dxa"/>
              <w:right w:w="110" w:type="dxa"/>
            </w:tcMar>
            <w:vAlign w:val="center"/>
          </w:tcPr>
          <w:p w14:paraId="029D1C38" w14:textId="77777777" w:rsidR="00A15FBE" w:rsidRDefault="00000000">
            <w:pPr>
              <w:spacing w:line="260" w:lineRule="auto"/>
            </w:pPr>
            <w:r>
              <w:rPr>
                <w:sz w:val="19"/>
                <w:szCs w:val="19"/>
              </w:rPr>
              <w:t>Infrastructure / cost</w:t>
            </w:r>
          </w:p>
        </w:tc>
        <w:tc>
          <w:tcPr>
            <w:tcW w:w="1500" w:type="dxa"/>
            <w:shd w:val="clear" w:color="auto" w:fill="EEF3F9"/>
            <w:tcMar>
              <w:top w:w="60" w:type="dxa"/>
              <w:left w:w="110" w:type="dxa"/>
              <w:bottom w:w="60" w:type="dxa"/>
              <w:right w:w="110" w:type="dxa"/>
            </w:tcMar>
            <w:vAlign w:val="center"/>
          </w:tcPr>
          <w:p w14:paraId="60502F83" w14:textId="77777777" w:rsidR="00A15FBE" w:rsidRDefault="00000000">
            <w:pPr>
              <w:spacing w:line="260" w:lineRule="auto"/>
            </w:pPr>
            <w:r>
              <w:rPr>
                <w:b/>
                <w:bCs/>
              </w:rPr>
              <w:t>Medium</w:t>
            </w:r>
          </w:p>
        </w:tc>
        <w:tc>
          <w:tcPr>
            <w:tcW w:w="5360" w:type="dxa"/>
            <w:shd w:val="clear" w:color="auto" w:fill="EEF3F9"/>
            <w:tcMar>
              <w:top w:w="60" w:type="dxa"/>
              <w:left w:w="110" w:type="dxa"/>
              <w:bottom w:w="60" w:type="dxa"/>
              <w:right w:w="110" w:type="dxa"/>
            </w:tcMar>
            <w:vAlign w:val="center"/>
          </w:tcPr>
          <w:p w14:paraId="7F3BA402" w14:textId="77777777" w:rsidR="00A15FBE" w:rsidRDefault="00000000">
            <w:pPr>
              <w:spacing w:line="260" w:lineRule="auto"/>
            </w:pPr>
            <w:r>
              <w:rPr>
                <w:sz w:val="19"/>
                <w:szCs w:val="19"/>
              </w:rPr>
              <w:t>Coast/ice-free/hydro help; Arctic costs still material</w:t>
            </w:r>
          </w:p>
        </w:tc>
      </w:tr>
      <w:tr w:rsidR="00A15FBE" w14:paraId="0A157462" w14:textId="77777777">
        <w:tblPrEx>
          <w:tblCellMar>
            <w:top w:w="0" w:type="dxa"/>
            <w:bottom w:w="0" w:type="dxa"/>
          </w:tblCellMar>
        </w:tblPrEx>
        <w:tc>
          <w:tcPr>
            <w:tcW w:w="2500" w:type="dxa"/>
            <w:shd w:val="clear" w:color="auto" w:fill="FFFFFF"/>
            <w:tcMar>
              <w:top w:w="60" w:type="dxa"/>
              <w:left w:w="110" w:type="dxa"/>
              <w:bottom w:w="60" w:type="dxa"/>
              <w:right w:w="110" w:type="dxa"/>
            </w:tcMar>
            <w:vAlign w:val="center"/>
          </w:tcPr>
          <w:p w14:paraId="307A3020" w14:textId="77777777" w:rsidR="00A15FBE" w:rsidRDefault="00000000">
            <w:pPr>
              <w:spacing w:line="260" w:lineRule="auto"/>
            </w:pPr>
            <w:r>
              <w:rPr>
                <w:sz w:val="19"/>
                <w:szCs w:val="19"/>
              </w:rPr>
              <w:t>Social licence / ESG</w:t>
            </w:r>
          </w:p>
        </w:tc>
        <w:tc>
          <w:tcPr>
            <w:tcW w:w="1500" w:type="dxa"/>
            <w:shd w:val="clear" w:color="auto" w:fill="FFFFFF"/>
            <w:tcMar>
              <w:top w:w="60" w:type="dxa"/>
              <w:left w:w="110" w:type="dxa"/>
              <w:bottom w:w="60" w:type="dxa"/>
              <w:right w:w="110" w:type="dxa"/>
            </w:tcMar>
            <w:vAlign w:val="center"/>
          </w:tcPr>
          <w:p w14:paraId="5A950A73" w14:textId="77777777" w:rsidR="00A15FBE" w:rsidRDefault="00000000">
            <w:pPr>
              <w:spacing w:line="260" w:lineRule="auto"/>
            </w:pPr>
            <w:r>
              <w:rPr>
                <w:b/>
                <w:bCs/>
              </w:rPr>
              <w:t>Medium</w:t>
            </w:r>
          </w:p>
        </w:tc>
        <w:tc>
          <w:tcPr>
            <w:tcW w:w="5360" w:type="dxa"/>
            <w:shd w:val="clear" w:color="auto" w:fill="FFFFFF"/>
            <w:tcMar>
              <w:top w:w="60" w:type="dxa"/>
              <w:left w:w="110" w:type="dxa"/>
              <w:bottom w:w="60" w:type="dxa"/>
              <w:right w:w="110" w:type="dxa"/>
            </w:tcMar>
            <w:vAlign w:val="center"/>
          </w:tcPr>
          <w:p w14:paraId="22BEBAEA" w14:textId="77777777" w:rsidR="00A15FBE" w:rsidRDefault="00000000">
            <w:pPr>
              <w:spacing w:line="260" w:lineRule="auto"/>
            </w:pPr>
            <w:r>
              <w:rPr>
                <w:sz w:val="19"/>
                <w:szCs w:val="19"/>
              </w:rPr>
              <w:t>Sulphides raise acid-drainage; no baseline yet</w:t>
            </w:r>
          </w:p>
        </w:tc>
      </w:tr>
    </w:tbl>
    <w:p w14:paraId="741E911D" w14:textId="77777777" w:rsidR="00A15FBE" w:rsidRDefault="00000000">
      <w:pPr>
        <w:pStyle w:val="Heading1"/>
      </w:pPr>
      <w:r>
        <w:t>11. Recommended Path Forward</w:t>
      </w:r>
    </w:p>
    <w:p w14:paraId="53B20A9B" w14:textId="77777777" w:rsidR="00A15FBE" w:rsidRDefault="00000000">
      <w:pPr>
        <w:spacing w:after="140" w:line="276" w:lineRule="auto"/>
        <w:jc w:val="both"/>
      </w:pPr>
      <w:proofErr w:type="spellStart"/>
      <w:r>
        <w:t>Akuliaruseq</w:t>
      </w:r>
      <w:proofErr w:type="spellEnd"/>
      <w:r>
        <w:t xml:space="preserve"> is unusual in that much of the expensive groundwork already exists; the priority is to </w:t>
      </w:r>
      <w:r>
        <w:rPr>
          <w:b/>
          <w:bCs/>
        </w:rPr>
        <w:t>verify and modernise</w:t>
      </w:r>
      <w:r>
        <w:t>, not to start from scratch. A staged, decision-gated programme is appropriate.</w:t>
      </w:r>
    </w:p>
    <w:p w14:paraId="704DCCEC" w14:textId="77777777" w:rsidR="00A15FBE" w:rsidRDefault="00000000">
      <w:pPr>
        <w:pStyle w:val="Heading3"/>
      </w:pPr>
      <w:r>
        <w:t>Stage 1 — Tenure, data recovery and compilation (weeks–months)</w:t>
      </w:r>
    </w:p>
    <w:p w14:paraId="73BB7A29" w14:textId="77777777" w:rsidR="00A15FBE" w:rsidRDefault="00000000">
      <w:pPr>
        <w:pStyle w:val="ListParagraph"/>
        <w:numPr>
          <w:ilvl w:val="0"/>
          <w:numId w:val="2"/>
        </w:numPr>
        <w:spacing w:after="90" w:line="272" w:lineRule="auto"/>
      </w:pPr>
      <w:r>
        <w:t>Confirm 2026 tenure status and ground availability with the Greenland MRA; identify the current/most recent licence holder and any pathway to acquire or partner.</w:t>
      </w:r>
    </w:p>
    <w:p w14:paraId="7A4A5D78" w14:textId="77777777" w:rsidR="00A15FBE" w:rsidRDefault="00000000">
      <w:pPr>
        <w:pStyle w:val="ListParagraph"/>
        <w:numPr>
          <w:ilvl w:val="0"/>
          <w:numId w:val="2"/>
        </w:numPr>
        <w:spacing w:after="90" w:line="272" w:lineRule="auto"/>
      </w:pPr>
      <w:r>
        <w:t>Recover and re-log the archived Øresund A/S drill core at GEUS; digitise all historic drilling, geophysics and metallurgical reports into a single validated database.</w:t>
      </w:r>
    </w:p>
    <w:p w14:paraId="11F0B810" w14:textId="77777777" w:rsidR="00A15FBE" w:rsidRDefault="00000000">
      <w:pPr>
        <w:pStyle w:val="ListParagraph"/>
        <w:numPr>
          <w:ilvl w:val="0"/>
          <w:numId w:val="2"/>
        </w:numPr>
        <w:spacing w:after="90" w:line="272" w:lineRule="auto"/>
      </w:pPr>
      <w:r>
        <w:t>Re-assay selected historic core for graphitic carbon (LECO) and sulphur to quantify the LOI-versus-Cg relationship.</w:t>
      </w:r>
    </w:p>
    <w:p w14:paraId="5AD1EDD7" w14:textId="77777777" w:rsidR="00A15FBE" w:rsidRDefault="00000000">
      <w:pPr>
        <w:pStyle w:val="Heading3"/>
      </w:pPr>
      <w:r>
        <w:t>Stage 2 — Verification drilling and modern metallurgy (one field season)</w:t>
      </w:r>
    </w:p>
    <w:p w14:paraId="429E3B81" w14:textId="77777777" w:rsidR="00A15FBE" w:rsidRDefault="00000000">
      <w:pPr>
        <w:pStyle w:val="ListParagraph"/>
        <w:numPr>
          <w:ilvl w:val="0"/>
          <w:numId w:val="2"/>
        </w:numPr>
        <w:spacing w:after="90" w:line="272" w:lineRule="auto"/>
      </w:pPr>
      <w:r>
        <w:t>Twin a representative set of historic holes with modern QA/QC; add shallow holes below 40 m to test depth continuity.</w:t>
      </w:r>
    </w:p>
    <w:p w14:paraId="4B5D9B01" w14:textId="77777777" w:rsidR="00A15FBE" w:rsidRDefault="00000000">
      <w:pPr>
        <w:pStyle w:val="ListParagraph"/>
        <w:numPr>
          <w:ilvl w:val="0"/>
          <w:numId w:val="2"/>
        </w:numPr>
        <w:spacing w:after="90" w:line="272" w:lineRule="auto"/>
      </w:pPr>
      <w:r>
        <w:t>Run a modern metallurgical programme: flake-size-by-grade distribution, sulphur deportment, flotation optimisation, and purification toward battery-anode specification.</w:t>
      </w:r>
    </w:p>
    <w:p w14:paraId="611058B7" w14:textId="77777777" w:rsidR="00A15FBE" w:rsidRDefault="00000000">
      <w:pPr>
        <w:pStyle w:val="ListParagraph"/>
        <w:numPr>
          <w:ilvl w:val="0"/>
          <w:numId w:val="2"/>
        </w:numPr>
        <w:spacing w:after="90" w:line="272" w:lineRule="auto"/>
      </w:pPr>
      <w:r>
        <w:t>Begin environmental and social baseline studies, with early attention to sulphide / acid-rock-drainage characterisation.</w:t>
      </w:r>
    </w:p>
    <w:p w14:paraId="4B285F23" w14:textId="77777777" w:rsidR="00A15FBE" w:rsidRDefault="00000000">
      <w:pPr>
        <w:pStyle w:val="Heading3"/>
      </w:pPr>
      <w:r>
        <w:t>Stage 3 — Maiden compliant resource and scoping (conditional)</w:t>
      </w:r>
    </w:p>
    <w:p w14:paraId="66D6A8D0" w14:textId="77777777" w:rsidR="00A15FBE" w:rsidRDefault="00000000">
      <w:pPr>
        <w:pStyle w:val="ListParagraph"/>
        <w:numPr>
          <w:ilvl w:val="0"/>
          <w:numId w:val="2"/>
        </w:numPr>
        <w:spacing w:after="90" w:line="272" w:lineRule="auto"/>
      </w:pPr>
      <w:r>
        <w:lastRenderedPageBreak/>
        <w:t>On successful verification, estimate a maiden JORC / S-K 1300 Mineral Resource reported as graphitic carbon, with a flake-size and product-quality framework.</w:t>
      </w:r>
    </w:p>
    <w:p w14:paraId="5417315E" w14:textId="77777777" w:rsidR="00A15FBE" w:rsidRDefault="00000000">
      <w:pPr>
        <w:pStyle w:val="ListParagraph"/>
        <w:numPr>
          <w:ilvl w:val="0"/>
          <w:numId w:val="2"/>
        </w:numPr>
        <w:spacing w:after="90" w:line="272" w:lineRule="auto"/>
      </w:pPr>
      <w:r>
        <w:t>Complete a scoping study testing whether the deep-water, ice-free, hydropower-capable setting can deliver competitive concentrate and, potentially, downstream anode product.</w:t>
      </w:r>
    </w:p>
    <w:tbl>
      <w:tblPr>
        <w:tblW w:w="9360" w:type="dxa"/>
        <w:tblBorders>
          <w:top w:val="single" w:sz="2" w:space="0" w:color="2E75B6"/>
          <w:left w:val="single" w:sz="24" w:space="0" w:color="2E75B6"/>
          <w:bottom w:val="single" w:sz="2" w:space="0" w:color="2E75B6"/>
          <w:right w:val="single" w:sz="2" w:space="0" w:color="2E75B6"/>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15FBE" w14:paraId="0C1457F1" w14:textId="77777777">
        <w:tblPrEx>
          <w:tblCellMar>
            <w:top w:w="0" w:type="dxa"/>
            <w:bottom w:w="0" w:type="dxa"/>
          </w:tblCellMar>
        </w:tblPrEx>
        <w:tc>
          <w:tcPr>
            <w:tcW w:w="9360" w:type="dxa"/>
            <w:shd w:val="clear" w:color="auto" w:fill="E8F0F9"/>
            <w:tcMar>
              <w:top w:w="140" w:type="dxa"/>
              <w:left w:w="200" w:type="dxa"/>
              <w:bottom w:w="140" w:type="dxa"/>
              <w:right w:w="160" w:type="dxa"/>
            </w:tcMar>
          </w:tcPr>
          <w:p w14:paraId="18CDBC04" w14:textId="77777777" w:rsidR="00A15FBE" w:rsidRDefault="00000000">
            <w:pPr>
              <w:spacing w:after="80"/>
            </w:pPr>
            <w:r>
              <w:rPr>
                <w:b/>
                <w:bCs/>
                <w:color w:val="2E75B6"/>
                <w:sz w:val="22"/>
                <w:szCs w:val="22"/>
              </w:rPr>
              <w:t>The cheapest tonne is the one already drilled</w:t>
            </w:r>
          </w:p>
          <w:p w14:paraId="27B2A944" w14:textId="77777777" w:rsidR="00A15FBE" w:rsidRDefault="00000000">
            <w:pPr>
              <w:spacing w:line="268" w:lineRule="auto"/>
              <w:jc w:val="both"/>
            </w:pPr>
            <w:r>
              <w:t xml:space="preserve">Because the core and data largely still exist, the path from “historic” to “compliant” at </w:t>
            </w:r>
            <w:proofErr w:type="spellStart"/>
            <w:r>
              <w:t>Akuliaruseq</w:t>
            </w:r>
            <w:proofErr w:type="spellEnd"/>
            <w:r>
              <w:t xml:space="preserve"> is unusually short and capital-light compared with a greenfield discovery. Re-logging, twinning and modern assay can deliver a code-compliant resource for a fraction of the cost of the original campaign. That capital efficiency — not the headline grade — is the most compelling part of the near-term case.</w:t>
            </w:r>
          </w:p>
        </w:tc>
      </w:tr>
    </w:tbl>
    <w:p w14:paraId="037E81E9" w14:textId="77777777" w:rsidR="00A15FBE" w:rsidRDefault="00000000">
      <w:pPr>
        <w:pStyle w:val="Heading1"/>
      </w:pPr>
      <w:r>
        <w:t>12. Concluding Statement</w:t>
      </w:r>
    </w:p>
    <w:p w14:paraId="274A7474" w14:textId="77777777" w:rsidR="00A15FBE" w:rsidRDefault="00000000">
      <w:pPr>
        <w:spacing w:after="140" w:line="276" w:lineRule="auto"/>
        <w:jc w:val="both"/>
      </w:pPr>
      <w:proofErr w:type="spellStart"/>
      <w:r>
        <w:t>Akuliaruseq</w:t>
      </w:r>
      <w:proofErr w:type="spellEnd"/>
      <w:r>
        <w:t xml:space="preserve"> is the most advanced graphite occurrence in Greenland and one of the better-documented flake-graphite targets in the North Atlantic Arctic. It offers a long, drill-tested mineralised system, a coarse and clean flake population, demonstrated high-purity flotation concentrates, and an unusually workable coastal setting — all underpinned by a substantial, if dated, body of work that most peers cannot match.</w:t>
      </w:r>
    </w:p>
    <w:p w14:paraId="6E625171" w14:textId="77777777" w:rsidR="00A15FBE" w:rsidRDefault="00000000">
      <w:pPr>
        <w:spacing w:after="140" w:line="276" w:lineRule="auto"/>
        <w:jc w:val="both"/>
      </w:pPr>
      <w:r>
        <w:t>Set against that, the asset is not yet investable on its current data. The resource statements are historic and non-compliant, the headline grade rests on loss-on-ignition rather than graphitic carbon, the rock is sulphide-rich in a market that prizes low sulphur, and the 2026 tenure position is unconfirmed. None of these is necessarily fatal — but all must be resolved before value can responsibly be ascribed.</w:t>
      </w:r>
    </w:p>
    <w:tbl>
      <w:tblPr>
        <w:tblW w:w="9360" w:type="dxa"/>
        <w:tblBorders>
          <w:top w:val="single" w:sz="2" w:space="0" w:color="2D6A4F"/>
          <w:left w:val="single" w:sz="2" w:space="0" w:color="2D6A4F"/>
          <w:bottom w:val="single" w:sz="2" w:space="0" w:color="2D6A4F"/>
          <w:right w:val="single" w:sz="2" w:space="0" w:color="2D6A4F"/>
          <w:insideH w:val="single" w:sz="4" w:space="0" w:color="auto"/>
          <w:insideV w:val="single" w:sz="4" w:space="0" w:color="auto"/>
        </w:tblBorders>
        <w:shd w:val="clear" w:color="auto" w:fill="D9F2D0" w:themeFill="accent6" w:themeFillTint="33"/>
        <w:tblCellMar>
          <w:left w:w="10" w:type="dxa"/>
          <w:right w:w="10" w:type="dxa"/>
        </w:tblCellMar>
        <w:tblLook w:val="0000" w:firstRow="0" w:lastRow="0" w:firstColumn="0" w:lastColumn="0" w:noHBand="0" w:noVBand="0"/>
      </w:tblPr>
      <w:tblGrid>
        <w:gridCol w:w="9360"/>
      </w:tblGrid>
      <w:tr w:rsidR="00A15FBE" w:rsidRPr="000164C3" w14:paraId="523F7208" w14:textId="77777777" w:rsidTr="000164C3">
        <w:tblPrEx>
          <w:tblCellMar>
            <w:top w:w="0" w:type="dxa"/>
            <w:bottom w:w="0" w:type="dxa"/>
          </w:tblCellMar>
        </w:tblPrEx>
        <w:tc>
          <w:tcPr>
            <w:tcW w:w="9360" w:type="dxa"/>
            <w:shd w:val="clear" w:color="auto" w:fill="D9F2D0" w:themeFill="accent6" w:themeFillTint="33"/>
            <w:tcMar>
              <w:top w:w="160" w:type="dxa"/>
              <w:left w:w="200" w:type="dxa"/>
              <w:bottom w:w="160" w:type="dxa"/>
              <w:right w:w="200" w:type="dxa"/>
            </w:tcMar>
          </w:tcPr>
          <w:p w14:paraId="4CDB4AF2" w14:textId="77777777" w:rsidR="00A15FBE" w:rsidRPr="000164C3" w:rsidRDefault="00000000">
            <w:pPr>
              <w:spacing w:after="80"/>
              <w:rPr>
                <w:color w:val="000000" w:themeColor="text1"/>
              </w:rPr>
            </w:pPr>
            <w:r w:rsidRPr="000164C3">
              <w:rPr>
                <w:b/>
                <w:bCs/>
                <w:color w:val="000000" w:themeColor="text1"/>
                <w:sz w:val="22"/>
                <w:szCs w:val="22"/>
              </w:rPr>
              <w:t>QP Opinion 4</w:t>
            </w:r>
          </w:p>
          <w:p w14:paraId="13D6F92A" w14:textId="77777777" w:rsidR="00A15FBE" w:rsidRPr="000164C3" w:rsidRDefault="00000000">
            <w:pPr>
              <w:spacing w:line="268" w:lineRule="auto"/>
              <w:jc w:val="both"/>
              <w:rPr>
                <w:color w:val="000000" w:themeColor="text1"/>
              </w:rPr>
            </w:pPr>
            <w:r w:rsidRPr="000164C3">
              <w:rPr>
                <w:color w:val="000000" w:themeColor="text1"/>
              </w:rPr>
              <w:t xml:space="preserve">In my opinion </w:t>
            </w:r>
            <w:proofErr w:type="spellStart"/>
            <w:r w:rsidRPr="000164C3">
              <w:rPr>
                <w:color w:val="000000" w:themeColor="text1"/>
              </w:rPr>
              <w:t>Akuliaruseq</w:t>
            </w:r>
            <w:proofErr w:type="spellEnd"/>
            <w:r w:rsidRPr="000164C3">
              <w:rPr>
                <w:color w:val="000000" w:themeColor="text1"/>
              </w:rPr>
              <w:t xml:space="preserve"> merits a funded, staged verification programme, contingent on securing tenure and access to the archived core and data. It should be presented to investors as a </w:t>
            </w:r>
            <w:r w:rsidRPr="000164C3">
              <w:rPr>
                <w:b/>
                <w:bCs/>
                <w:color w:val="000000" w:themeColor="text1"/>
              </w:rPr>
              <w:t>re-evaluation and de-risking opportunity — the conversion of a real but dated dataset into a compliant resource and a modern flake product — not as a defined resource or a development-ready project</w:t>
            </w:r>
            <w:r w:rsidRPr="000164C3">
              <w:rPr>
                <w:color w:val="000000" w:themeColor="text1"/>
              </w:rPr>
              <w:t>. The grade should be communicated as graphitic carbon (~6% Cg), the resource figures labelled as historic and non-compliant, and the sulphur question treated as a central technical objective. On that honest basis, the project’s drill-tested scale, flake quality and capital-efficient path to compliance make it a credible candidate for early investor engagement.</w:t>
            </w:r>
          </w:p>
          <w:p w14:paraId="39216C2B" w14:textId="77777777" w:rsidR="00A15FBE" w:rsidRPr="000164C3" w:rsidRDefault="00000000">
            <w:pPr>
              <w:spacing w:before="100"/>
              <w:rPr>
                <w:color w:val="000000" w:themeColor="text1"/>
              </w:rPr>
            </w:pPr>
            <w:r w:rsidRPr="000164C3">
              <w:rPr>
                <w:i/>
                <w:iCs/>
                <w:color w:val="000000" w:themeColor="text1"/>
                <w:sz w:val="18"/>
                <w:szCs w:val="18"/>
              </w:rPr>
              <w:t>Malcolm Castle, MAusIMM (CP Geo) — Qualified Person, Agricola Mining Consultants Pty Ltd</w:t>
            </w:r>
          </w:p>
        </w:tc>
      </w:tr>
    </w:tbl>
    <w:p w14:paraId="67067086" w14:textId="77777777" w:rsidR="00A15FBE" w:rsidRDefault="00000000">
      <w:pPr>
        <w:pStyle w:val="Heading1"/>
      </w:pPr>
      <w:r>
        <w:t>References and Sources</w:t>
      </w:r>
    </w:p>
    <w:p w14:paraId="7D17B9CA" w14:textId="77777777" w:rsidR="00A15FBE" w:rsidRDefault="00000000">
      <w:pPr>
        <w:spacing w:after="120" w:line="264" w:lineRule="auto"/>
        <w:ind w:left="360" w:hanging="360"/>
        <w:jc w:val="both"/>
      </w:pPr>
      <w:r>
        <w:rPr>
          <w:sz w:val="19"/>
          <w:szCs w:val="19"/>
        </w:rPr>
        <w:t>Bondam, J. (1992). Graphite occurrences in Greenland — a review. GGU Open File Series 92/6, Geological Survey of Greenland.</w:t>
      </w:r>
    </w:p>
    <w:p w14:paraId="123F76EB" w14:textId="77777777" w:rsidR="00A15FBE" w:rsidRDefault="00000000">
      <w:pPr>
        <w:spacing w:after="120" w:line="264" w:lineRule="auto"/>
        <w:ind w:left="360" w:hanging="360"/>
        <w:jc w:val="both"/>
      </w:pPr>
      <w:r>
        <w:rPr>
          <w:sz w:val="19"/>
          <w:szCs w:val="19"/>
        </w:rPr>
        <w:t>Thrane, K. &amp; Kalvig, P. (2019). Graphite potential in Greenland. Geology and Ore No. 32, GEUS / Ministry of Mineral Resources.</w:t>
      </w:r>
    </w:p>
    <w:p w14:paraId="27C1C481" w14:textId="77777777" w:rsidR="00A15FBE" w:rsidRDefault="00000000">
      <w:pPr>
        <w:spacing w:after="120" w:line="264" w:lineRule="auto"/>
        <w:ind w:left="360" w:hanging="360"/>
        <w:jc w:val="both"/>
      </w:pPr>
      <w:r>
        <w:rPr>
          <w:sz w:val="19"/>
          <w:szCs w:val="19"/>
        </w:rPr>
        <w:t xml:space="preserve">21st North (2013). The </w:t>
      </w:r>
      <w:proofErr w:type="spellStart"/>
      <w:r>
        <w:rPr>
          <w:sz w:val="19"/>
          <w:szCs w:val="19"/>
        </w:rPr>
        <w:t>Akuliaruseq</w:t>
      </w:r>
      <w:proofErr w:type="spellEnd"/>
      <w:r>
        <w:rPr>
          <w:sz w:val="19"/>
          <w:szCs w:val="19"/>
        </w:rPr>
        <w:t xml:space="preserve"> Graphite Deposit — a high-grade flake deposit in West Greenland. China Mining 2013 presentation (C. Østergaard).</w:t>
      </w:r>
    </w:p>
    <w:p w14:paraId="4F9C4601" w14:textId="77777777" w:rsidR="00A15FBE" w:rsidRDefault="00000000">
      <w:pPr>
        <w:spacing w:after="120" w:line="264" w:lineRule="auto"/>
        <w:ind w:left="360" w:hanging="360"/>
        <w:jc w:val="both"/>
      </w:pPr>
      <w:r>
        <w:rPr>
          <w:sz w:val="19"/>
          <w:szCs w:val="19"/>
        </w:rPr>
        <w:lastRenderedPageBreak/>
        <w:t>Morthorst, J. &amp; Keto, L. (1983, 1984); Digre, M. (1986) and related Kryolitselskabet Øresund A/S internal reports (drilling, geophysics and metallurgical test work, 1982–1986), archived at GEUS.</w:t>
      </w:r>
    </w:p>
    <w:p w14:paraId="39367698" w14:textId="77777777" w:rsidR="00A15FBE" w:rsidRDefault="00000000">
      <w:pPr>
        <w:spacing w:after="120" w:line="264" w:lineRule="auto"/>
        <w:ind w:left="360" w:hanging="360"/>
        <w:jc w:val="both"/>
      </w:pPr>
      <w:r>
        <w:rPr>
          <w:sz w:val="19"/>
          <w:szCs w:val="19"/>
        </w:rPr>
        <w:t xml:space="preserve">Selected current market and policy context (2025–26): graphite market and price commentary (INN, </w:t>
      </w:r>
      <w:proofErr w:type="spellStart"/>
      <w:r>
        <w:rPr>
          <w:sz w:val="19"/>
          <w:szCs w:val="19"/>
        </w:rPr>
        <w:t>Fastmarkets</w:t>
      </w:r>
      <w:proofErr w:type="spellEnd"/>
      <w:r>
        <w:rPr>
          <w:sz w:val="19"/>
          <w:szCs w:val="19"/>
        </w:rPr>
        <w:t>, SMM, Crux Investor); reporting on China export-control measures and their suspension; EU Critical Raw Materials Act designations; and US / Greenland critical-minerals coverage.</w:t>
      </w:r>
    </w:p>
    <w:p w14:paraId="79708413" w14:textId="77777777" w:rsidR="00A15FBE" w:rsidRDefault="00000000">
      <w:pPr>
        <w:spacing w:before="200"/>
        <w:jc w:val="center"/>
        <w:rPr>
          <w:i/>
          <w:iCs/>
          <w:color w:val="555555"/>
          <w:sz w:val="18"/>
          <w:szCs w:val="18"/>
        </w:rPr>
      </w:pPr>
      <w:r>
        <w:rPr>
          <w:i/>
          <w:iCs/>
          <w:color w:val="555555"/>
          <w:sz w:val="18"/>
          <w:szCs w:val="18"/>
        </w:rPr>
        <w:t>— End of discussion document —</w:t>
      </w:r>
    </w:p>
    <w:p w14:paraId="41F20A4A" w14:textId="77777777" w:rsidR="000164C3" w:rsidRDefault="000164C3">
      <w:pPr>
        <w:spacing w:before="200"/>
        <w:jc w:val="center"/>
        <w:rPr>
          <w:i/>
          <w:iCs/>
          <w:color w:val="555555"/>
          <w:sz w:val="18"/>
          <w:szCs w:val="18"/>
        </w:rPr>
      </w:pPr>
    </w:p>
    <w:p w14:paraId="162450ED" w14:textId="77777777" w:rsidR="000164C3" w:rsidRDefault="000164C3" w:rsidP="000164C3">
      <w:pPr>
        <w:pBdr>
          <w:bottom w:val="single" w:sz="4" w:space="4" w:color="1F3864"/>
        </w:pBdr>
        <w:spacing w:after="220"/>
      </w:pPr>
      <w:r>
        <w:rPr>
          <w:i/>
          <w:iCs/>
          <w:color w:val="666666"/>
          <w:sz w:val="20"/>
          <w:szCs w:val="20"/>
        </w:rPr>
        <w:t>Independent Technical Assessment Report – Graphite Market Section (for inclusion)</w:t>
      </w:r>
    </w:p>
    <w:p w14:paraId="0A414255" w14:textId="77777777" w:rsidR="000164C3" w:rsidRDefault="000164C3" w:rsidP="000164C3">
      <w:pPr>
        <w:pStyle w:val="Heading1"/>
      </w:pPr>
      <w:r>
        <w:t>Graphite and the Graphite Market</w:t>
      </w:r>
    </w:p>
    <w:p w14:paraId="049A6D22" w14:textId="77777777" w:rsidR="000164C3" w:rsidRDefault="000164C3" w:rsidP="000164C3">
      <w:pPr>
        <w:spacing w:after="160" w:line="276" w:lineRule="auto"/>
        <w:jc w:val="both"/>
      </w:pPr>
      <w:r>
        <w:t>Graphite has a number of traditional uses, including refractory applications (foundry facings, crucibles and retort linings), brushes in electric motors, dry cells, ‘lead’ pencils, and as an additive in paints, lubricants and stove polishes. The automotive industry has also adopted graphite for use in brake linings, gaskets, clutch materials and dry lubricants, while elsewhere it has been adopted for use in fire retardants and as a reinforcement in plastics. Graphite is also used in nuclear reactors to moderate the speed of the nuclear fission reaction.</w:t>
      </w:r>
    </w:p>
    <w:p w14:paraId="335951F2" w14:textId="77777777" w:rsidR="000164C3" w:rsidRDefault="000164C3" w:rsidP="000164C3">
      <w:pPr>
        <w:spacing w:after="160" w:line="276" w:lineRule="auto"/>
        <w:jc w:val="both"/>
      </w:pPr>
      <w:r>
        <w:t>More recently, the market for graphite has expanded rapidly, reflecting its use in a number of green technologies including lithium-ion batteries, fuel cells, flow batteries and the expansion of nuclear power development. Several of these applications have the potential to consume more graphite than all present uses combined. The proliferation of lithium-ion batteries used in electric vehicles and grid-scale energy storage is the principal driver of future graphite demand. Battery-grade graphite involves the production of a more highly processed form of graphite – spherical graphite – the manufacture of which requires chemical and mechanical modification of flake graphite and, at present, is performed predominantly in China. Other parts of the world are increasingly seeking to manufacture this product.</w:t>
      </w:r>
    </w:p>
    <w:p w14:paraId="04A98B48" w14:textId="77777777" w:rsidR="000164C3" w:rsidRDefault="000164C3" w:rsidP="000164C3">
      <w:pPr>
        <w:spacing w:after="160" w:line="276" w:lineRule="auto"/>
        <w:jc w:val="both"/>
      </w:pPr>
      <w:r>
        <w:t>A carbon-based compound, graphene, has also been developed from flake graphite. Graphene is a two-dimensional hexagonal lattice of pure graphite one atom thick which is very strong and efficiently conducts heat and electricity. It is approximately 100 times as strong as steel and has potential uses in areas such as battery technology and conductive coatings.</w:t>
      </w:r>
    </w:p>
    <w:p w14:paraId="7750FEE0" w14:textId="77777777" w:rsidR="000164C3" w:rsidRDefault="000164C3" w:rsidP="000164C3">
      <w:pPr>
        <w:pStyle w:val="Heading2"/>
      </w:pPr>
      <w:r>
        <w:t>Graphite Types and Battery Anode Materials</w:t>
      </w:r>
    </w:p>
    <w:p w14:paraId="794EE0A4" w14:textId="77777777" w:rsidR="000164C3" w:rsidRDefault="000164C3" w:rsidP="000164C3">
      <w:pPr>
        <w:spacing w:after="160" w:line="276" w:lineRule="auto"/>
        <w:jc w:val="both"/>
      </w:pPr>
      <w:r>
        <w:t>Graphite occurs in three natural forms – crystalline (flake), vein (lump) and amorphous – and is also manufactured synthetically. Natural flake graphite, such as that hosted at the Burke and Mt Dromedary Deposits, is the preferred feedstock for the production of natural graphite Battery Anode Material (BAM). Synthetic graphite is produced from petroleum coke or coal-tar pitch through an energy-intensive graphitisation process and currently retains the largest share of the lithium-ion anode market on account of its fast-charge performance, durability and electrolyte compatibility. Natural graphite is, however, gaining share on the basis of its lower cost, higher capacity and substantially lower energy intensity (and hence lower embodied carbon).</w:t>
      </w:r>
    </w:p>
    <w:p w14:paraId="620CEACA" w14:textId="77777777" w:rsidR="000164C3" w:rsidRDefault="000164C3" w:rsidP="000164C3">
      <w:pPr>
        <w:spacing w:after="160" w:line="276" w:lineRule="auto"/>
        <w:jc w:val="both"/>
      </w:pPr>
      <w:r>
        <w:t xml:space="preserve">To produce a natural graphite anode, flake graphite concentrate is </w:t>
      </w:r>
      <w:proofErr w:type="spellStart"/>
      <w:r>
        <w:t>micronised</w:t>
      </w:r>
      <w:proofErr w:type="spellEnd"/>
      <w:r>
        <w:t xml:space="preserve">, purified and </w:t>
      </w:r>
      <w:proofErr w:type="spellStart"/>
      <w:r>
        <w:t>spheronised</w:t>
      </w:r>
      <w:proofErr w:type="spellEnd"/>
      <w:r>
        <w:t xml:space="preserve"> to form uncoated spherical (or </w:t>
      </w:r>
      <w:proofErr w:type="spellStart"/>
      <w:r>
        <w:t>spheroidised</w:t>
      </w:r>
      <w:proofErr w:type="spellEnd"/>
      <w:r>
        <w:t>) purified graphite (“</w:t>
      </w:r>
      <w:r>
        <w:rPr>
          <w:b/>
          <w:bCs/>
        </w:rPr>
        <w:t>SPG</w:t>
      </w:r>
      <w:r>
        <w:t>”), which is then surface-coated to form coated spherical purified graphite (“</w:t>
      </w:r>
      <w:r>
        <w:rPr>
          <w:b/>
          <w:bCs/>
        </w:rPr>
        <w:t>CSPG</w:t>
      </w:r>
      <w:r>
        <w:t xml:space="preserve">”), the active anode material loaded into a battery cell. The processing steps from flake concentrate through to SPG and CSPG capture </w:t>
      </w:r>
      <w:r>
        <w:lastRenderedPageBreak/>
        <w:t>the majority of the value in the natural-graphite anode supply chain, and it is at these processing stages – rather than at the mine – that supply is most heavily concentrated in China. This underpins the Company’s strategy of vertical integration from mine to BAM product.</w:t>
      </w:r>
    </w:p>
    <w:p w14:paraId="249820ED" w14:textId="77777777" w:rsidR="000164C3" w:rsidRDefault="000164C3" w:rsidP="000164C3">
      <w:pPr>
        <w:spacing w:after="160" w:line="276" w:lineRule="auto"/>
        <w:jc w:val="both"/>
      </w:pPr>
      <w:r>
        <w:t>The natural graphite at the Burke and Mt Dromedary Deposits is hosted in schist and slate and outcrops over a 3km strike length, with in-situ flake sizes of approximately 27% jumbo, 18% coarse, 6% medium, 23% fine and 26% very fine; flake size and grade generally increase at depth. The deposits have been demonstrated through metallurgical test work to be capable of producing a +95% TGC flotation concentrate suitable as feedstock for SPG/CSPG manufacture, supporting the Company’s proposed vertically integrated mine-to-BAM development model.</w:t>
      </w:r>
    </w:p>
    <w:p w14:paraId="7B33D9E5" w14:textId="77777777" w:rsidR="000164C3" w:rsidRDefault="000164C3" w:rsidP="000164C3">
      <w:pPr>
        <w:pStyle w:val="Heading2"/>
      </w:pPr>
      <w:r>
        <w:t>Demand Outlook</w:t>
      </w:r>
    </w:p>
    <w:p w14:paraId="0F3B1012" w14:textId="77777777" w:rsidR="000164C3" w:rsidRDefault="000164C3" w:rsidP="000164C3">
      <w:pPr>
        <w:spacing w:after="160" w:line="276" w:lineRule="auto"/>
        <w:jc w:val="both"/>
      </w:pPr>
      <w:r>
        <w:t>Graphite is the single largest component of a lithium-ion battery anode by mass, and the anode segment has become the dominant driver of graphite demand growth. Industry analysts estimate that battery anodes accounted for approximately 28% of global graphite consumption in 2024 and forecast this to rise to around 62% by 2036, with total graphite demand projected to increase by approximately 310% over the same period. Battery-grade graphite demand is variously estimated to grow from approximately 1.3–1.5 million tonnes per annum currently to of the order of 4–5 million tonnes per annum by 2030, broadly a three- to four-fold increase, as global lithium-ion battery demand is forecast to exceed 5–6 TWh per annum.</w:t>
      </w:r>
    </w:p>
    <w:p w14:paraId="67E428FA" w14:textId="77777777" w:rsidR="000164C3" w:rsidRDefault="000164C3" w:rsidP="000164C3">
      <w:pPr>
        <w:spacing w:after="160" w:line="276" w:lineRule="auto"/>
        <w:jc w:val="both"/>
      </w:pPr>
      <w:r>
        <w:t>Each electric vehicle requires, on average, approximately 50 to 100 kilograms of graphite in its battery anode – roughly twice the mass of lithium – and grid-scale battery energy storage systems add further demand. Graphite’s traditional industrial applications, principally refractories, graphite electrodes for electric-arc-furnace steelmaking, foundries, lubricants and friction materials, continue to provide a substantial demand base that is closely correlated with global steel production.</w:t>
      </w:r>
    </w:p>
    <w:p w14:paraId="3704DFA1" w14:textId="77777777" w:rsidR="000164C3" w:rsidRDefault="000164C3" w:rsidP="000164C3">
      <w:pPr>
        <w:spacing w:after="160" w:line="276" w:lineRule="auto"/>
        <w:jc w:val="both"/>
      </w:pPr>
      <w:r>
        <w:t>Meeting this projected demand will require a very large expansion of mine and processing capacity. Benchmark Mineral Intelligence has estimated that of the order of US$12 billion of investment and approximately 97 new graphite mines may be required by 2035, and has previously identified the potential for a global supply deficit approaching 777,000 tonnes by 2030. The market for natural flake graphite alone has been valued at approximately US$1.4 billion in 2026, with forecasts of growth to approximately US$3.1 billion by 2035 (a compound annual growth rate of around 9%).</w:t>
      </w:r>
    </w:p>
    <w:p w14:paraId="5103F10A" w14:textId="77777777" w:rsidR="000164C3" w:rsidRDefault="000164C3" w:rsidP="000164C3">
      <w:pPr>
        <w:pStyle w:val="Heading2"/>
      </w:pPr>
      <w:r>
        <w:t>Supply and the Dominance of China</w:t>
      </w:r>
    </w:p>
    <w:p w14:paraId="1F42E666" w14:textId="77777777" w:rsidR="000164C3" w:rsidRDefault="000164C3" w:rsidP="000164C3">
      <w:pPr>
        <w:spacing w:after="160" w:line="276" w:lineRule="auto"/>
        <w:jc w:val="both"/>
      </w:pPr>
      <w:r>
        <w:t>Global natural graphite supply is highly concentrated, both geographically and along the processing value chain. Natural graphite mine production rose from approximately 0.97 million tonnes in 2020 to approximately 1.6 million tonnes in 2024, with China accounting for nearly all of the recent growth. China dominates every stage of the value chain, as summarised below.</w:t>
      </w:r>
    </w:p>
    <w:p w14:paraId="648DA1C2" w14:textId="77777777" w:rsidR="000164C3" w:rsidRDefault="000164C3" w:rsidP="000164C3">
      <w:pPr>
        <w:spacing w:before="80" w:after="200"/>
        <w:jc w:val="center"/>
      </w:pPr>
      <w:r>
        <w:rPr>
          <w:i/>
          <w:iCs/>
          <w:sz w:val="20"/>
          <w:szCs w:val="20"/>
        </w:rPr>
        <w:t>CHINA’S POSITION IN THE GLOBAL GRAPHITE VALUE CHAIN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1860"/>
        <w:gridCol w:w="4000"/>
      </w:tblGrid>
      <w:tr w:rsidR="000164C3" w14:paraId="0663EC1F" w14:textId="77777777" w:rsidTr="007E288C">
        <w:tc>
          <w:tcPr>
            <w:tcW w:w="3500" w:type="dxa"/>
            <w:tcBorders>
              <w:top w:val="single" w:sz="1" w:space="0" w:color="AAAAAA"/>
              <w:left w:val="single" w:sz="1" w:space="0" w:color="AAAAAA"/>
              <w:bottom w:val="single" w:sz="1" w:space="0" w:color="AAAAAA"/>
              <w:right w:val="single" w:sz="1" w:space="0" w:color="AAAAAA"/>
            </w:tcBorders>
            <w:shd w:val="clear" w:color="auto" w:fill="1F3864"/>
            <w:tcMar>
              <w:top w:w="50" w:type="dxa"/>
              <w:left w:w="90" w:type="dxa"/>
              <w:bottom w:w="50" w:type="dxa"/>
              <w:right w:w="90" w:type="dxa"/>
            </w:tcMar>
            <w:vAlign w:val="center"/>
          </w:tcPr>
          <w:p w14:paraId="28836CFD" w14:textId="77777777" w:rsidR="000164C3" w:rsidRDefault="000164C3" w:rsidP="007E288C">
            <w:pPr>
              <w:jc w:val="center"/>
            </w:pPr>
            <w:r>
              <w:rPr>
                <w:b/>
                <w:bCs/>
                <w:color w:val="FFFFFF"/>
                <w:sz w:val="18"/>
                <w:szCs w:val="18"/>
              </w:rPr>
              <w:t>Value-Chain Segment</w:t>
            </w:r>
          </w:p>
        </w:tc>
        <w:tc>
          <w:tcPr>
            <w:tcW w:w="1860" w:type="dxa"/>
            <w:tcBorders>
              <w:top w:val="single" w:sz="1" w:space="0" w:color="AAAAAA"/>
              <w:left w:val="single" w:sz="1" w:space="0" w:color="AAAAAA"/>
              <w:bottom w:val="single" w:sz="1" w:space="0" w:color="AAAAAA"/>
              <w:right w:val="single" w:sz="1" w:space="0" w:color="AAAAAA"/>
            </w:tcBorders>
            <w:shd w:val="clear" w:color="auto" w:fill="1F3864"/>
            <w:tcMar>
              <w:top w:w="50" w:type="dxa"/>
              <w:left w:w="90" w:type="dxa"/>
              <w:bottom w:w="50" w:type="dxa"/>
              <w:right w:w="90" w:type="dxa"/>
            </w:tcMar>
            <w:vAlign w:val="center"/>
          </w:tcPr>
          <w:p w14:paraId="54F8F3C2" w14:textId="77777777" w:rsidR="000164C3" w:rsidRDefault="000164C3" w:rsidP="007E288C">
            <w:pPr>
              <w:jc w:val="center"/>
            </w:pPr>
            <w:r>
              <w:rPr>
                <w:b/>
                <w:bCs/>
                <w:color w:val="FFFFFF"/>
                <w:sz w:val="18"/>
                <w:szCs w:val="18"/>
              </w:rPr>
              <w:t>Approx. China Share</w:t>
            </w:r>
          </w:p>
        </w:tc>
        <w:tc>
          <w:tcPr>
            <w:tcW w:w="4000" w:type="dxa"/>
            <w:tcBorders>
              <w:top w:val="single" w:sz="1" w:space="0" w:color="AAAAAA"/>
              <w:left w:val="single" w:sz="1" w:space="0" w:color="AAAAAA"/>
              <w:bottom w:val="single" w:sz="1" w:space="0" w:color="AAAAAA"/>
              <w:right w:val="single" w:sz="1" w:space="0" w:color="AAAAAA"/>
            </w:tcBorders>
            <w:shd w:val="clear" w:color="auto" w:fill="1F3864"/>
            <w:tcMar>
              <w:top w:w="50" w:type="dxa"/>
              <w:left w:w="90" w:type="dxa"/>
              <w:bottom w:w="50" w:type="dxa"/>
              <w:right w:w="90" w:type="dxa"/>
            </w:tcMar>
            <w:vAlign w:val="center"/>
          </w:tcPr>
          <w:p w14:paraId="6DAC4F1D" w14:textId="77777777" w:rsidR="000164C3" w:rsidRDefault="000164C3" w:rsidP="007E288C">
            <w:pPr>
              <w:jc w:val="center"/>
            </w:pPr>
            <w:r>
              <w:rPr>
                <w:b/>
                <w:bCs/>
                <w:color w:val="FFFFFF"/>
                <w:sz w:val="18"/>
                <w:szCs w:val="18"/>
              </w:rPr>
              <w:t>Comment</w:t>
            </w:r>
          </w:p>
        </w:tc>
      </w:tr>
      <w:tr w:rsidR="000164C3" w14:paraId="3D04397C" w14:textId="77777777" w:rsidTr="007E288C">
        <w:tc>
          <w:tcPr>
            <w:tcW w:w="3500" w:type="dxa"/>
            <w:tcBorders>
              <w:top w:val="single" w:sz="1" w:space="0" w:color="AAAAAA"/>
              <w:left w:val="single" w:sz="1" w:space="0" w:color="AAAAAA"/>
              <w:bottom w:val="single" w:sz="1" w:space="0" w:color="AAAAAA"/>
              <w:right w:val="single" w:sz="1" w:space="0" w:color="AAAAAA"/>
            </w:tcBorders>
            <w:tcMar>
              <w:top w:w="50" w:type="dxa"/>
              <w:left w:w="90" w:type="dxa"/>
              <w:bottom w:w="50" w:type="dxa"/>
              <w:right w:w="90" w:type="dxa"/>
            </w:tcMar>
            <w:vAlign w:val="center"/>
          </w:tcPr>
          <w:p w14:paraId="426619FC" w14:textId="77777777" w:rsidR="000164C3" w:rsidRDefault="000164C3" w:rsidP="007E288C">
            <w:r>
              <w:rPr>
                <w:sz w:val="18"/>
                <w:szCs w:val="18"/>
              </w:rPr>
              <w:t>Natural graphite mining</w:t>
            </w:r>
          </w:p>
        </w:tc>
        <w:tc>
          <w:tcPr>
            <w:tcW w:w="1860" w:type="dxa"/>
            <w:tcBorders>
              <w:top w:val="single" w:sz="1" w:space="0" w:color="AAAAAA"/>
              <w:left w:val="single" w:sz="1" w:space="0" w:color="AAAAAA"/>
              <w:bottom w:val="single" w:sz="1" w:space="0" w:color="AAAAAA"/>
              <w:right w:val="single" w:sz="1" w:space="0" w:color="AAAAAA"/>
            </w:tcBorders>
            <w:tcMar>
              <w:top w:w="50" w:type="dxa"/>
              <w:left w:w="90" w:type="dxa"/>
              <w:bottom w:w="50" w:type="dxa"/>
              <w:right w:w="90" w:type="dxa"/>
            </w:tcMar>
            <w:vAlign w:val="center"/>
          </w:tcPr>
          <w:p w14:paraId="61FF9F47" w14:textId="77777777" w:rsidR="000164C3" w:rsidRDefault="000164C3" w:rsidP="007E288C">
            <w:pPr>
              <w:jc w:val="center"/>
            </w:pPr>
            <w:r>
              <w:rPr>
                <w:sz w:val="18"/>
                <w:szCs w:val="18"/>
              </w:rPr>
              <w:t>65–80%</w:t>
            </w:r>
          </w:p>
        </w:tc>
        <w:tc>
          <w:tcPr>
            <w:tcW w:w="4000" w:type="dxa"/>
            <w:tcBorders>
              <w:top w:val="single" w:sz="1" w:space="0" w:color="AAAAAA"/>
              <w:left w:val="single" w:sz="1" w:space="0" w:color="AAAAAA"/>
              <w:bottom w:val="single" w:sz="1" w:space="0" w:color="AAAAAA"/>
              <w:right w:val="single" w:sz="1" w:space="0" w:color="AAAAAA"/>
            </w:tcBorders>
            <w:tcMar>
              <w:top w:w="50" w:type="dxa"/>
              <w:left w:w="90" w:type="dxa"/>
              <w:bottom w:w="50" w:type="dxa"/>
              <w:right w:w="90" w:type="dxa"/>
            </w:tcMar>
            <w:vAlign w:val="center"/>
          </w:tcPr>
          <w:p w14:paraId="268E529E" w14:textId="77777777" w:rsidR="000164C3" w:rsidRDefault="000164C3" w:rsidP="007E288C">
            <w:r>
              <w:rPr>
                <w:sz w:val="18"/>
                <w:szCs w:val="18"/>
              </w:rPr>
              <w:t>Output rose from ~0.97 Mt (2020) to ~1.6 Mt (2024); China provided nearly all recent growth.</w:t>
            </w:r>
          </w:p>
        </w:tc>
      </w:tr>
      <w:tr w:rsidR="000164C3" w14:paraId="767F7C86" w14:textId="77777777" w:rsidTr="007E288C">
        <w:tc>
          <w:tcPr>
            <w:tcW w:w="3500" w:type="dxa"/>
            <w:tcBorders>
              <w:top w:val="single" w:sz="1" w:space="0" w:color="AAAAAA"/>
              <w:left w:val="single" w:sz="1" w:space="0" w:color="AAAAAA"/>
              <w:bottom w:val="single" w:sz="1" w:space="0" w:color="AAAAAA"/>
              <w:right w:val="single" w:sz="1" w:space="0" w:color="AAAAAA"/>
            </w:tcBorders>
            <w:tcMar>
              <w:top w:w="50" w:type="dxa"/>
              <w:left w:w="90" w:type="dxa"/>
              <w:bottom w:w="50" w:type="dxa"/>
              <w:right w:w="90" w:type="dxa"/>
            </w:tcMar>
            <w:vAlign w:val="center"/>
          </w:tcPr>
          <w:p w14:paraId="661E2BD4" w14:textId="77777777" w:rsidR="000164C3" w:rsidRDefault="000164C3" w:rsidP="007E288C">
            <w:r>
              <w:rPr>
                <w:sz w:val="18"/>
                <w:szCs w:val="18"/>
              </w:rPr>
              <w:t>Uncoated spherical graphite (SPG) processing</w:t>
            </w:r>
          </w:p>
        </w:tc>
        <w:tc>
          <w:tcPr>
            <w:tcW w:w="1860" w:type="dxa"/>
            <w:tcBorders>
              <w:top w:val="single" w:sz="1" w:space="0" w:color="AAAAAA"/>
              <w:left w:val="single" w:sz="1" w:space="0" w:color="AAAAAA"/>
              <w:bottom w:val="single" w:sz="1" w:space="0" w:color="AAAAAA"/>
              <w:right w:val="single" w:sz="1" w:space="0" w:color="AAAAAA"/>
            </w:tcBorders>
            <w:tcMar>
              <w:top w:w="50" w:type="dxa"/>
              <w:left w:w="90" w:type="dxa"/>
              <w:bottom w:w="50" w:type="dxa"/>
              <w:right w:w="90" w:type="dxa"/>
            </w:tcMar>
            <w:vAlign w:val="center"/>
          </w:tcPr>
          <w:p w14:paraId="2E843F6E" w14:textId="77777777" w:rsidR="000164C3" w:rsidRDefault="000164C3" w:rsidP="007E288C">
            <w:pPr>
              <w:jc w:val="center"/>
            </w:pPr>
            <w:r>
              <w:rPr>
                <w:sz w:val="18"/>
                <w:szCs w:val="18"/>
              </w:rPr>
              <w:t>85–90%</w:t>
            </w:r>
          </w:p>
        </w:tc>
        <w:tc>
          <w:tcPr>
            <w:tcW w:w="4000" w:type="dxa"/>
            <w:tcBorders>
              <w:top w:val="single" w:sz="1" w:space="0" w:color="AAAAAA"/>
              <w:left w:val="single" w:sz="1" w:space="0" w:color="AAAAAA"/>
              <w:bottom w:val="single" w:sz="1" w:space="0" w:color="AAAAAA"/>
              <w:right w:val="single" w:sz="1" w:space="0" w:color="AAAAAA"/>
            </w:tcBorders>
            <w:tcMar>
              <w:top w:w="50" w:type="dxa"/>
              <w:left w:w="90" w:type="dxa"/>
              <w:bottom w:w="50" w:type="dxa"/>
              <w:right w:w="90" w:type="dxa"/>
            </w:tcMar>
            <w:vAlign w:val="center"/>
          </w:tcPr>
          <w:p w14:paraId="22822984" w14:textId="77777777" w:rsidR="000164C3" w:rsidRDefault="000164C3" w:rsidP="007E288C">
            <w:r>
              <w:rPr>
                <w:sz w:val="18"/>
                <w:szCs w:val="18"/>
              </w:rPr>
              <w:t>Less than 1% of uncoated spherical graphite is currently produced outside China.</w:t>
            </w:r>
          </w:p>
        </w:tc>
      </w:tr>
      <w:tr w:rsidR="000164C3" w14:paraId="56C02FC4" w14:textId="77777777" w:rsidTr="007E288C">
        <w:tc>
          <w:tcPr>
            <w:tcW w:w="3500" w:type="dxa"/>
            <w:tcBorders>
              <w:top w:val="single" w:sz="1" w:space="0" w:color="AAAAAA"/>
              <w:left w:val="single" w:sz="1" w:space="0" w:color="AAAAAA"/>
              <w:bottom w:val="single" w:sz="1" w:space="0" w:color="AAAAAA"/>
              <w:right w:val="single" w:sz="1" w:space="0" w:color="AAAAAA"/>
            </w:tcBorders>
            <w:tcMar>
              <w:top w:w="50" w:type="dxa"/>
              <w:left w:w="90" w:type="dxa"/>
              <w:bottom w:w="50" w:type="dxa"/>
              <w:right w:w="90" w:type="dxa"/>
            </w:tcMar>
            <w:vAlign w:val="center"/>
          </w:tcPr>
          <w:p w14:paraId="13D91D23" w14:textId="77777777" w:rsidR="000164C3" w:rsidRDefault="000164C3" w:rsidP="007E288C">
            <w:r>
              <w:rPr>
                <w:sz w:val="18"/>
                <w:szCs w:val="18"/>
              </w:rPr>
              <w:lastRenderedPageBreak/>
              <w:t>Synthetic graphite anode material</w:t>
            </w:r>
          </w:p>
        </w:tc>
        <w:tc>
          <w:tcPr>
            <w:tcW w:w="1860" w:type="dxa"/>
            <w:tcBorders>
              <w:top w:val="single" w:sz="1" w:space="0" w:color="AAAAAA"/>
              <w:left w:val="single" w:sz="1" w:space="0" w:color="AAAAAA"/>
              <w:bottom w:val="single" w:sz="1" w:space="0" w:color="AAAAAA"/>
              <w:right w:val="single" w:sz="1" w:space="0" w:color="AAAAAA"/>
            </w:tcBorders>
            <w:tcMar>
              <w:top w:w="50" w:type="dxa"/>
              <w:left w:w="90" w:type="dxa"/>
              <w:bottom w:w="50" w:type="dxa"/>
              <w:right w:w="90" w:type="dxa"/>
            </w:tcMar>
            <w:vAlign w:val="center"/>
          </w:tcPr>
          <w:p w14:paraId="0B3F9651" w14:textId="77777777" w:rsidR="000164C3" w:rsidRDefault="000164C3" w:rsidP="007E288C">
            <w:pPr>
              <w:jc w:val="center"/>
            </w:pPr>
            <w:r>
              <w:rPr>
                <w:sz w:val="18"/>
                <w:szCs w:val="18"/>
              </w:rPr>
              <w:t>&gt;95%</w:t>
            </w:r>
          </w:p>
        </w:tc>
        <w:tc>
          <w:tcPr>
            <w:tcW w:w="4000" w:type="dxa"/>
            <w:tcBorders>
              <w:top w:val="single" w:sz="1" w:space="0" w:color="AAAAAA"/>
              <w:left w:val="single" w:sz="1" w:space="0" w:color="AAAAAA"/>
              <w:bottom w:val="single" w:sz="1" w:space="0" w:color="AAAAAA"/>
              <w:right w:val="single" w:sz="1" w:space="0" w:color="AAAAAA"/>
            </w:tcBorders>
            <w:tcMar>
              <w:top w:w="50" w:type="dxa"/>
              <w:left w:w="90" w:type="dxa"/>
              <w:bottom w:w="50" w:type="dxa"/>
              <w:right w:w="90" w:type="dxa"/>
            </w:tcMar>
            <w:vAlign w:val="center"/>
          </w:tcPr>
          <w:p w14:paraId="217669A9" w14:textId="77777777" w:rsidR="000164C3" w:rsidRDefault="000164C3" w:rsidP="007E288C">
            <w:r>
              <w:rPr>
                <w:sz w:val="18"/>
                <w:szCs w:val="18"/>
              </w:rPr>
              <w:t>Produced by energy-intensive graphitisation of petroleum coke / coal-tar pitch.</w:t>
            </w:r>
          </w:p>
        </w:tc>
      </w:tr>
      <w:tr w:rsidR="000164C3" w14:paraId="70EA97F1" w14:textId="77777777" w:rsidTr="007E288C">
        <w:tc>
          <w:tcPr>
            <w:tcW w:w="3500" w:type="dxa"/>
            <w:tcBorders>
              <w:top w:val="single" w:sz="1" w:space="0" w:color="AAAAAA"/>
              <w:left w:val="single" w:sz="1" w:space="0" w:color="AAAAAA"/>
              <w:bottom w:val="single" w:sz="1" w:space="0" w:color="AAAAAA"/>
              <w:right w:val="single" w:sz="1" w:space="0" w:color="AAAAAA"/>
            </w:tcBorders>
            <w:tcMar>
              <w:top w:w="50" w:type="dxa"/>
              <w:left w:w="90" w:type="dxa"/>
              <w:bottom w:w="50" w:type="dxa"/>
              <w:right w:w="90" w:type="dxa"/>
            </w:tcMar>
            <w:vAlign w:val="center"/>
          </w:tcPr>
          <w:p w14:paraId="25F554F6" w14:textId="77777777" w:rsidR="000164C3" w:rsidRDefault="000164C3" w:rsidP="007E288C">
            <w:r>
              <w:rPr>
                <w:sz w:val="18"/>
                <w:szCs w:val="18"/>
              </w:rPr>
              <w:t>Finished (processed) anode material</w:t>
            </w:r>
          </w:p>
        </w:tc>
        <w:tc>
          <w:tcPr>
            <w:tcW w:w="1860" w:type="dxa"/>
            <w:tcBorders>
              <w:top w:val="single" w:sz="1" w:space="0" w:color="AAAAAA"/>
              <w:left w:val="single" w:sz="1" w:space="0" w:color="AAAAAA"/>
              <w:bottom w:val="single" w:sz="1" w:space="0" w:color="AAAAAA"/>
              <w:right w:val="single" w:sz="1" w:space="0" w:color="AAAAAA"/>
            </w:tcBorders>
            <w:tcMar>
              <w:top w:w="50" w:type="dxa"/>
              <w:left w:w="90" w:type="dxa"/>
              <w:bottom w:w="50" w:type="dxa"/>
              <w:right w:w="90" w:type="dxa"/>
            </w:tcMar>
            <w:vAlign w:val="center"/>
          </w:tcPr>
          <w:p w14:paraId="4FC92447" w14:textId="77777777" w:rsidR="000164C3" w:rsidRDefault="000164C3" w:rsidP="007E288C">
            <w:pPr>
              <w:jc w:val="center"/>
            </w:pPr>
            <w:r>
              <w:rPr>
                <w:sz w:val="18"/>
                <w:szCs w:val="18"/>
              </w:rPr>
              <w:t>~98%</w:t>
            </w:r>
          </w:p>
        </w:tc>
        <w:tc>
          <w:tcPr>
            <w:tcW w:w="4000" w:type="dxa"/>
            <w:tcBorders>
              <w:top w:val="single" w:sz="1" w:space="0" w:color="AAAAAA"/>
              <w:left w:val="single" w:sz="1" w:space="0" w:color="AAAAAA"/>
              <w:bottom w:val="single" w:sz="1" w:space="0" w:color="AAAAAA"/>
              <w:right w:val="single" w:sz="1" w:space="0" w:color="AAAAAA"/>
            </w:tcBorders>
            <w:tcMar>
              <w:top w:w="50" w:type="dxa"/>
              <w:left w:w="90" w:type="dxa"/>
              <w:bottom w:w="50" w:type="dxa"/>
              <w:right w:w="90" w:type="dxa"/>
            </w:tcMar>
            <w:vAlign w:val="center"/>
          </w:tcPr>
          <w:p w14:paraId="7281997F" w14:textId="77777777" w:rsidR="000164C3" w:rsidRDefault="000164C3" w:rsidP="007E288C">
            <w:r>
              <w:rPr>
                <w:sz w:val="18"/>
                <w:szCs w:val="18"/>
              </w:rPr>
              <w:t>The processing stages – not raw resource availability – represent the true supply bottleneck.</w:t>
            </w:r>
          </w:p>
        </w:tc>
      </w:tr>
      <w:tr w:rsidR="000164C3" w14:paraId="47E5CB1F" w14:textId="77777777" w:rsidTr="007E288C">
        <w:tc>
          <w:tcPr>
            <w:tcW w:w="3500" w:type="dxa"/>
            <w:tcBorders>
              <w:top w:val="single" w:sz="1" w:space="0" w:color="AAAAAA"/>
              <w:left w:val="single" w:sz="1" w:space="0" w:color="AAAAAA"/>
              <w:bottom w:val="single" w:sz="1" w:space="0" w:color="AAAAAA"/>
              <w:right w:val="single" w:sz="1" w:space="0" w:color="AAAAAA"/>
            </w:tcBorders>
            <w:tcMar>
              <w:top w:w="50" w:type="dxa"/>
              <w:left w:w="90" w:type="dxa"/>
              <w:bottom w:w="50" w:type="dxa"/>
              <w:right w:w="90" w:type="dxa"/>
            </w:tcMar>
            <w:vAlign w:val="center"/>
          </w:tcPr>
          <w:p w14:paraId="72D3EDA9" w14:textId="77777777" w:rsidR="000164C3" w:rsidRDefault="000164C3" w:rsidP="007E288C">
            <w:r>
              <w:rPr>
                <w:sz w:val="18"/>
                <w:szCs w:val="18"/>
              </w:rPr>
              <w:t>Global graphite consumption (2024)</w:t>
            </w:r>
          </w:p>
        </w:tc>
        <w:tc>
          <w:tcPr>
            <w:tcW w:w="1860" w:type="dxa"/>
            <w:tcBorders>
              <w:top w:val="single" w:sz="1" w:space="0" w:color="AAAAAA"/>
              <w:left w:val="single" w:sz="1" w:space="0" w:color="AAAAAA"/>
              <w:bottom w:val="single" w:sz="1" w:space="0" w:color="AAAAAA"/>
              <w:right w:val="single" w:sz="1" w:space="0" w:color="AAAAAA"/>
            </w:tcBorders>
            <w:tcMar>
              <w:top w:w="50" w:type="dxa"/>
              <w:left w:w="90" w:type="dxa"/>
              <w:bottom w:w="50" w:type="dxa"/>
              <w:right w:w="90" w:type="dxa"/>
            </w:tcMar>
            <w:vAlign w:val="center"/>
          </w:tcPr>
          <w:p w14:paraId="47516900" w14:textId="77777777" w:rsidR="000164C3" w:rsidRDefault="000164C3" w:rsidP="007E288C">
            <w:pPr>
              <w:jc w:val="center"/>
            </w:pPr>
            <w:r>
              <w:rPr>
                <w:sz w:val="18"/>
                <w:szCs w:val="18"/>
              </w:rPr>
              <w:t>~42%</w:t>
            </w:r>
          </w:p>
        </w:tc>
        <w:tc>
          <w:tcPr>
            <w:tcW w:w="4000" w:type="dxa"/>
            <w:tcBorders>
              <w:top w:val="single" w:sz="1" w:space="0" w:color="AAAAAA"/>
              <w:left w:val="single" w:sz="1" w:space="0" w:color="AAAAAA"/>
              <w:bottom w:val="single" w:sz="1" w:space="0" w:color="AAAAAA"/>
              <w:right w:val="single" w:sz="1" w:space="0" w:color="AAAAAA"/>
            </w:tcBorders>
            <w:tcMar>
              <w:top w:w="50" w:type="dxa"/>
              <w:left w:w="90" w:type="dxa"/>
              <w:bottom w:w="50" w:type="dxa"/>
              <w:right w:w="90" w:type="dxa"/>
            </w:tcMar>
            <w:vAlign w:val="center"/>
          </w:tcPr>
          <w:p w14:paraId="1936018A" w14:textId="77777777" w:rsidR="000164C3" w:rsidRDefault="000164C3" w:rsidP="007E288C">
            <w:r>
              <w:rPr>
                <w:sz w:val="18"/>
                <w:szCs w:val="18"/>
              </w:rPr>
              <w:t>Approximately 601 kt, around five times the next-largest national market.</w:t>
            </w:r>
          </w:p>
        </w:tc>
      </w:tr>
    </w:tbl>
    <w:p w14:paraId="55AE42BF" w14:textId="77777777" w:rsidR="000164C3" w:rsidRDefault="000164C3" w:rsidP="000164C3">
      <w:pPr>
        <w:spacing w:after="140"/>
      </w:pPr>
      <w:r>
        <w:rPr>
          <w:i/>
          <w:iCs/>
        </w:rPr>
        <w:t xml:space="preserve">Indicative figures compiled from public industry sources (including Benchmark Mineral Intelligence and </w:t>
      </w:r>
      <w:proofErr w:type="spellStart"/>
      <w:r>
        <w:rPr>
          <w:i/>
          <w:iCs/>
        </w:rPr>
        <w:t>Fastmarkets</w:t>
      </w:r>
      <w:proofErr w:type="spellEnd"/>
      <w:r>
        <w:rPr>
          <w:i/>
          <w:iCs/>
        </w:rPr>
        <w:t>); ranges reflect differences between mining, processing and product-stage estimates.</w:t>
      </w:r>
    </w:p>
    <w:p w14:paraId="1943751A" w14:textId="77777777" w:rsidR="000164C3" w:rsidRDefault="000164C3" w:rsidP="000164C3">
      <w:pPr>
        <w:spacing w:after="160" w:line="276" w:lineRule="auto"/>
        <w:jc w:val="both"/>
      </w:pPr>
      <w:r>
        <w:t>This concentration – particularly in spherical and synthetic anode processing – represents the principal structural vulnerability in the battery supply chain. In response, automakers, battery manufacturers and Western governments are actively seeking to diversify and localise supply. New natural flake graphite capacity is emerging in Africa (notably Mozambique, Madagascar, Tanzania and Malawi) and in Australia, Canada and Brazil, while downstream SPG/anode processing capacity is being developed in North America, Europe and elsewhere in the Asia-Pacific. Even as non-Chinese mine supply increases, however, the processing bottleneck is expected to persist, supporting regional price premiums for verified-origin, low-carbon material and creating an opportunity for integrated, ex-China BAM producers.</w:t>
      </w:r>
    </w:p>
    <w:p w14:paraId="4BF02682" w14:textId="77777777" w:rsidR="000164C3" w:rsidRDefault="000164C3" w:rsidP="000164C3">
      <w:pPr>
        <w:pStyle w:val="Heading2"/>
      </w:pPr>
      <w:r>
        <w:t>Critical Minerals Status and Trade Policy</w:t>
      </w:r>
    </w:p>
    <w:p w14:paraId="57022EAE" w14:textId="77777777" w:rsidR="000164C3" w:rsidRDefault="000164C3" w:rsidP="000164C3">
      <w:pPr>
        <w:spacing w:after="160" w:line="276" w:lineRule="auto"/>
        <w:jc w:val="both"/>
      </w:pPr>
      <w:r>
        <w:t>Graphite is classified as a critical (or strategic) mineral by Australia, the United States, the European Union, Japan, Canada and other jurisdictions, reflecting both its essential role in the energy transition and the concentration of its supply. This status has translated into a series of supportive Western policy measures – including United States Inflation Reduction Act subsidies, Foreign Entity of Concern (FEOC) sourcing restrictions and clean-vehicle credits, and European Union measures such as the Carbon Border Adjustment Mechanism (CBAM) and forthcoming battery ‘passport’ origin-traceability requirements (from 2027) – each of which favours traceable, lower-carbon supply from sources outside China.</w:t>
      </w:r>
    </w:p>
    <w:p w14:paraId="09C5A0CE" w14:textId="77777777" w:rsidR="000164C3" w:rsidRDefault="000164C3" w:rsidP="000164C3">
      <w:pPr>
        <w:spacing w:after="160" w:line="276" w:lineRule="auto"/>
        <w:jc w:val="both"/>
      </w:pPr>
      <w:r>
        <w:t>Chinese export policy has been the dominant trade-policy influence on the graphite market. China introduced export-licensing requirements for certain natural graphite items in late 2023 and, on 9 October 2025, announced Decision No. 58 of 2025 (jointly issued by the Ministry of Commerce (“</w:t>
      </w:r>
      <w:r>
        <w:rPr>
          <w:b/>
          <w:bCs/>
        </w:rPr>
        <w:t>MOFCOM</w:t>
      </w:r>
      <w:r>
        <w:t>”) and the General Administration of Customs), which would have imposed export controls on lithium-ion batteries, artificial (synthetic) graphite anode materials, and related production equipment and technology, with effect from 8 November 2025.</w:t>
      </w:r>
    </w:p>
    <w:p w14:paraId="7DB6BF45" w14:textId="77777777" w:rsidR="000164C3" w:rsidRDefault="000164C3" w:rsidP="000164C3">
      <w:pPr>
        <w:spacing w:after="160" w:line="276" w:lineRule="auto"/>
        <w:jc w:val="both"/>
      </w:pPr>
      <w:r>
        <w:rPr>
          <w:b/>
          <w:bCs/>
        </w:rPr>
        <w:t xml:space="preserve">Important update. </w:t>
      </w:r>
      <w:r>
        <w:t>Following the 30 October 2025 meeting between the Chinese and United States leaders in Busan and the associated bilateral trade understanding, MOFCOM and the General Administration of Customs issued Decision No. 70 of 2025 on 7 November 2025 – one day before Decision No. 58 was due to take effect – suspending the implementation of Decision No. 58 (together with a number of related October 2025 measures) from 7 November 2025 until 10 November 2026. A further MOFCOM announcement (No. 72 of 2025, dated 9 November 2025) suspended the stricter end-user and end-use review requirements for exports of dual-use graphite items to the United States until 27 November 2026. Accordingly, as at the date of this Report, exports of lithium-ion batteries and artificial graphite anode materials remain unrestricted, and the enhanced controls have not taken effect.</w:t>
      </w:r>
    </w:p>
    <w:p w14:paraId="66D4C25C" w14:textId="77777777" w:rsidR="000164C3" w:rsidRDefault="000164C3" w:rsidP="000164C3">
      <w:pPr>
        <w:spacing w:after="160" w:line="276" w:lineRule="auto"/>
        <w:jc w:val="both"/>
      </w:pPr>
      <w:r>
        <w:lastRenderedPageBreak/>
        <w:t>These suspensions are, however, expressly temporary and define a policy window rather than a permanent change. Whether the controls are re-activated after the suspension periods expire in late 2026 will depend on the prevailing state of international trade relations. The episode demonstrates both the speed with which access to Chinese graphite and anode material can be constrained and China’s retention of substantial strategic leverage over the supply chain. In parallel, North American buyers of Chinese anode material continue to face elevated effective tariffs (reported to be of the order of 160% when anti-dumping and countervailing duties are included), further incentivising the qualification of non-Chinese supply.</w:t>
      </w:r>
    </w:p>
    <w:p w14:paraId="0B312CD9" w14:textId="77777777" w:rsidR="000164C3" w:rsidRDefault="000164C3" w:rsidP="000164C3">
      <w:pPr>
        <w:pStyle w:val="Heading2"/>
      </w:pPr>
      <w:r>
        <w:t>Pricing</w:t>
      </w:r>
    </w:p>
    <w:p w14:paraId="78924A1C" w14:textId="77777777" w:rsidR="000164C3" w:rsidRDefault="000164C3" w:rsidP="000164C3">
      <w:pPr>
        <w:spacing w:after="160" w:line="276" w:lineRule="auto"/>
        <w:jc w:val="both"/>
      </w:pPr>
      <w:r>
        <w:t>Flake graphite prices fell to multi-year lows through 2025, driven by cyclical oversupply and weak demand from the steel and broader industrial sectors, which remain important to flake demand alongside the growing battery segment. Benchmark Northeast Asian flake prices were assessed at around US$2.0 per kilogram through the first half of 2025 and trended lower over the course of the year. Industry analysts expect prices to stabilise around mid-2026 as Chinese export controls (in their various forms) tighten effective supply and as battery and steel demand recover.</w:t>
      </w:r>
    </w:p>
    <w:p w14:paraId="1F3206BD" w14:textId="77777777" w:rsidR="000164C3" w:rsidRDefault="000164C3" w:rsidP="000164C3">
      <w:pPr>
        <w:spacing w:after="160" w:line="276" w:lineRule="auto"/>
        <w:jc w:val="both"/>
      </w:pPr>
      <w:r>
        <w:t>Importantly, pricing is increasingly differentiated by region, grade and provenance. As traceability, qualification and carbon-intensity requirements take effect in Western markets, regional premiums are expected to emerge for verified-origin, low-carbon graphite and anode material produced outside China. Higher-value spherical and battery-grade products command substantial premiums over standard flake concentrate. This pricing structure is favourable to the development of high-grade, low-impurity natural flake graphite projects in stable jurisdictions that are positioned to supply the ex-China battery supply chain.</w:t>
      </w:r>
    </w:p>
    <w:p w14:paraId="5D395028" w14:textId="77777777" w:rsidR="000164C3" w:rsidRDefault="000164C3" w:rsidP="000164C3">
      <w:pPr>
        <w:spacing w:after="120"/>
      </w:pPr>
      <w:r>
        <w:rPr>
          <w:i/>
          <w:iCs/>
        </w:rPr>
        <w:t xml:space="preserve">Sources: Market data and forecasts in this section have been compiled from publicly available industry sources, including Benchmark Mineral Intelligence, </w:t>
      </w:r>
      <w:proofErr w:type="spellStart"/>
      <w:r>
        <w:rPr>
          <w:i/>
          <w:iCs/>
        </w:rPr>
        <w:t>Fastmarkets</w:t>
      </w:r>
      <w:proofErr w:type="spellEnd"/>
      <w:r>
        <w:rPr>
          <w:i/>
          <w:iCs/>
        </w:rPr>
        <w:t xml:space="preserve"> and other published market commentary and government critical-minerals assessments, current to the date of this Report. Such forecasts are estimates only and are subject to change. China’s export-control measures are summarised from MOFCOM / General Administration of Customs announcements (Decision No. 58 of 2025, Decision No. 70 of 2025 and Announcement No. 72 of 2025).</w:t>
      </w:r>
    </w:p>
    <w:p w14:paraId="171280AE" w14:textId="77777777" w:rsidR="000164C3" w:rsidRDefault="000164C3">
      <w:pPr>
        <w:spacing w:before="200"/>
        <w:jc w:val="center"/>
      </w:pPr>
    </w:p>
    <w:sectPr w:rsidR="000164C3">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53175" w14:textId="77777777" w:rsidR="004B3A87" w:rsidRDefault="004B3A87">
      <w:r>
        <w:separator/>
      </w:r>
    </w:p>
  </w:endnote>
  <w:endnote w:type="continuationSeparator" w:id="0">
    <w:p w14:paraId="7671E6F2" w14:textId="77777777" w:rsidR="004B3A87" w:rsidRDefault="004B3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D71C0" w14:textId="77777777" w:rsidR="00A15FBE" w:rsidRDefault="00000000">
    <w:pPr>
      <w:pBdr>
        <w:top w:val="single" w:sz="4" w:space="2" w:color="D6E4F0"/>
      </w:pBdr>
      <w:tabs>
        <w:tab w:val="right" w:pos="9360"/>
      </w:tabs>
    </w:pPr>
    <w:r>
      <w:rPr>
        <w:color w:val="555555"/>
        <w:sz w:val="15"/>
        <w:szCs w:val="15"/>
      </w:rPr>
      <w:t>Confidential — draft for discussion • 14 June 2026</w:t>
    </w:r>
    <w:r>
      <w:rPr>
        <w:color w:val="555555"/>
        <w:sz w:val="15"/>
        <w:szCs w:val="15"/>
      </w:rPr>
      <w:tab/>
      <w:t xml:space="preserve">Page </w:t>
    </w:r>
    <w:r>
      <w:rPr>
        <w:color w:val="555555"/>
        <w:sz w:val="15"/>
        <w:szCs w:val="15"/>
      </w:rPr>
      <w:fldChar w:fldCharType="begin"/>
    </w:r>
    <w:r>
      <w:rPr>
        <w:color w:val="555555"/>
        <w:sz w:val="15"/>
        <w:szCs w:val="15"/>
      </w:rPr>
      <w:instrText>PAGE</w:instrText>
    </w:r>
    <w:r>
      <w:rPr>
        <w:color w:val="555555"/>
        <w:sz w:val="15"/>
        <w:szCs w:val="15"/>
      </w:rPr>
      <w:fldChar w:fldCharType="separate"/>
    </w:r>
    <w:r w:rsidR="000164C3">
      <w:rPr>
        <w:noProof/>
        <w:color w:val="555555"/>
        <w:sz w:val="15"/>
        <w:szCs w:val="15"/>
      </w:rPr>
      <w:t>1</w:t>
    </w:r>
    <w:r>
      <w:rPr>
        <w:color w:val="555555"/>
        <w:sz w:val="15"/>
        <w:szCs w:val="15"/>
      </w:rPr>
      <w:fldChar w:fldCharType="end"/>
    </w:r>
    <w:r>
      <w:rPr>
        <w:color w:val="555555"/>
        <w:sz w:val="15"/>
        <w:szCs w:val="15"/>
      </w:rPr>
      <w:t xml:space="preserve"> of </w:t>
    </w:r>
    <w:r>
      <w:rPr>
        <w:color w:val="555555"/>
        <w:sz w:val="15"/>
        <w:szCs w:val="15"/>
      </w:rPr>
      <w:fldChar w:fldCharType="begin"/>
    </w:r>
    <w:r>
      <w:rPr>
        <w:color w:val="555555"/>
        <w:sz w:val="15"/>
        <w:szCs w:val="15"/>
      </w:rPr>
      <w:instrText>NUMPAGES</w:instrText>
    </w:r>
    <w:r>
      <w:rPr>
        <w:color w:val="555555"/>
        <w:sz w:val="15"/>
        <w:szCs w:val="15"/>
      </w:rPr>
      <w:fldChar w:fldCharType="separate"/>
    </w:r>
    <w:r w:rsidR="000164C3">
      <w:rPr>
        <w:noProof/>
        <w:color w:val="555555"/>
        <w:sz w:val="15"/>
        <w:szCs w:val="15"/>
      </w:rPr>
      <w:t>2</w:t>
    </w:r>
    <w:r>
      <w:rPr>
        <w:color w:val="555555"/>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976C9" w14:textId="77777777" w:rsidR="004B3A87" w:rsidRDefault="004B3A87">
      <w:r>
        <w:separator/>
      </w:r>
    </w:p>
  </w:footnote>
  <w:footnote w:type="continuationSeparator" w:id="0">
    <w:p w14:paraId="0CB9D85A" w14:textId="77777777" w:rsidR="004B3A87" w:rsidRDefault="004B3A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7831F" w14:textId="77777777" w:rsidR="00A15FBE" w:rsidRDefault="00000000">
    <w:pPr>
      <w:pBdr>
        <w:bottom w:val="single" w:sz="4" w:space="2" w:color="D6E4F0"/>
      </w:pBdr>
      <w:tabs>
        <w:tab w:val="right" w:pos="9360"/>
      </w:tabs>
    </w:pPr>
    <w:r>
      <w:rPr>
        <w:b/>
        <w:bCs/>
        <w:color w:val="1B3A5C"/>
        <w:sz w:val="16"/>
        <w:szCs w:val="16"/>
      </w:rPr>
      <w:t>Agricola Mining Consultants</w:t>
    </w:r>
    <w:r>
      <w:rPr>
        <w:i/>
        <w:iCs/>
        <w:color w:val="555555"/>
        <w:sz w:val="16"/>
        <w:szCs w:val="16"/>
      </w:rPr>
      <w:tab/>
    </w:r>
    <w:proofErr w:type="spellStart"/>
    <w:r>
      <w:rPr>
        <w:i/>
        <w:iCs/>
        <w:color w:val="555555"/>
        <w:sz w:val="16"/>
        <w:szCs w:val="16"/>
      </w:rPr>
      <w:t>Akuliaruseq</w:t>
    </w:r>
    <w:proofErr w:type="spellEnd"/>
    <w:r>
      <w:rPr>
        <w:i/>
        <w:iCs/>
        <w:color w:val="555555"/>
        <w:sz w:val="16"/>
        <w:szCs w:val="16"/>
      </w:rPr>
      <w:t xml:space="preserve"> Graphite Deposit — Investor Discussion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5766E"/>
    <w:multiLevelType w:val="hybridMultilevel"/>
    <w:tmpl w:val="67A6BC8C"/>
    <w:lvl w:ilvl="0" w:tplc="FBBE4F60">
      <w:start w:val="1"/>
      <w:numFmt w:val="bullet"/>
      <w:lvlText w:val="●"/>
      <w:lvlJc w:val="left"/>
      <w:pPr>
        <w:ind w:left="720" w:hanging="360"/>
      </w:pPr>
    </w:lvl>
    <w:lvl w:ilvl="1" w:tplc="849CB5CE">
      <w:start w:val="1"/>
      <w:numFmt w:val="bullet"/>
      <w:lvlText w:val="○"/>
      <w:lvlJc w:val="left"/>
      <w:pPr>
        <w:ind w:left="1440" w:hanging="360"/>
      </w:pPr>
    </w:lvl>
    <w:lvl w:ilvl="2" w:tplc="54E2B30C">
      <w:start w:val="1"/>
      <w:numFmt w:val="bullet"/>
      <w:lvlText w:val="■"/>
      <w:lvlJc w:val="left"/>
      <w:pPr>
        <w:ind w:left="2160" w:hanging="360"/>
      </w:pPr>
    </w:lvl>
    <w:lvl w:ilvl="3" w:tplc="47AE5316">
      <w:start w:val="1"/>
      <w:numFmt w:val="bullet"/>
      <w:lvlText w:val="●"/>
      <w:lvlJc w:val="left"/>
      <w:pPr>
        <w:ind w:left="2880" w:hanging="360"/>
      </w:pPr>
    </w:lvl>
    <w:lvl w:ilvl="4" w:tplc="D8F6DB24">
      <w:start w:val="1"/>
      <w:numFmt w:val="bullet"/>
      <w:lvlText w:val="○"/>
      <w:lvlJc w:val="left"/>
      <w:pPr>
        <w:ind w:left="3600" w:hanging="360"/>
      </w:pPr>
    </w:lvl>
    <w:lvl w:ilvl="5" w:tplc="A88C6E44">
      <w:start w:val="1"/>
      <w:numFmt w:val="bullet"/>
      <w:lvlText w:val="■"/>
      <w:lvlJc w:val="left"/>
      <w:pPr>
        <w:ind w:left="4320" w:hanging="360"/>
      </w:pPr>
    </w:lvl>
    <w:lvl w:ilvl="6" w:tplc="B81227B8">
      <w:start w:val="1"/>
      <w:numFmt w:val="bullet"/>
      <w:lvlText w:val="●"/>
      <w:lvlJc w:val="left"/>
      <w:pPr>
        <w:ind w:left="5040" w:hanging="360"/>
      </w:pPr>
    </w:lvl>
    <w:lvl w:ilvl="7" w:tplc="47B2F660">
      <w:start w:val="1"/>
      <w:numFmt w:val="bullet"/>
      <w:lvlText w:val="●"/>
      <w:lvlJc w:val="left"/>
      <w:pPr>
        <w:ind w:left="5760" w:hanging="360"/>
      </w:pPr>
    </w:lvl>
    <w:lvl w:ilvl="8" w:tplc="8B64E146">
      <w:start w:val="1"/>
      <w:numFmt w:val="bullet"/>
      <w:lvlText w:val="●"/>
      <w:lvlJc w:val="left"/>
      <w:pPr>
        <w:ind w:left="6480" w:hanging="360"/>
      </w:pPr>
    </w:lvl>
  </w:abstractNum>
  <w:abstractNum w:abstractNumId="1" w15:restartNumberingAfterBreak="0">
    <w:nsid w:val="5459262D"/>
    <w:multiLevelType w:val="hybridMultilevel"/>
    <w:tmpl w:val="95E276E2"/>
    <w:lvl w:ilvl="0" w:tplc="4CA4BCCE">
      <w:start w:val="1"/>
      <w:numFmt w:val="decimal"/>
      <w:lvlText w:val="%1."/>
      <w:lvlJc w:val="left"/>
      <w:pPr>
        <w:ind w:left="540" w:hanging="300"/>
      </w:pPr>
    </w:lvl>
    <w:lvl w:ilvl="1" w:tplc="B9A0B726">
      <w:numFmt w:val="decimal"/>
      <w:lvlText w:val=""/>
      <w:lvlJc w:val="left"/>
    </w:lvl>
    <w:lvl w:ilvl="2" w:tplc="E12E49C2">
      <w:numFmt w:val="decimal"/>
      <w:lvlText w:val=""/>
      <w:lvlJc w:val="left"/>
    </w:lvl>
    <w:lvl w:ilvl="3" w:tplc="1390E30C">
      <w:numFmt w:val="decimal"/>
      <w:lvlText w:val=""/>
      <w:lvlJc w:val="left"/>
    </w:lvl>
    <w:lvl w:ilvl="4" w:tplc="02085634">
      <w:numFmt w:val="decimal"/>
      <w:lvlText w:val=""/>
      <w:lvlJc w:val="left"/>
    </w:lvl>
    <w:lvl w:ilvl="5" w:tplc="7F3A4172">
      <w:numFmt w:val="decimal"/>
      <w:lvlText w:val=""/>
      <w:lvlJc w:val="left"/>
    </w:lvl>
    <w:lvl w:ilvl="6" w:tplc="2E026E2C">
      <w:numFmt w:val="decimal"/>
      <w:lvlText w:val=""/>
      <w:lvlJc w:val="left"/>
    </w:lvl>
    <w:lvl w:ilvl="7" w:tplc="EF00801E">
      <w:numFmt w:val="decimal"/>
      <w:lvlText w:val=""/>
      <w:lvlJc w:val="left"/>
    </w:lvl>
    <w:lvl w:ilvl="8" w:tplc="68424D46">
      <w:numFmt w:val="decimal"/>
      <w:lvlText w:val=""/>
      <w:lvlJc w:val="left"/>
    </w:lvl>
  </w:abstractNum>
  <w:abstractNum w:abstractNumId="2" w15:restartNumberingAfterBreak="0">
    <w:nsid w:val="7EF30C85"/>
    <w:multiLevelType w:val="hybridMultilevel"/>
    <w:tmpl w:val="EBC47958"/>
    <w:lvl w:ilvl="0" w:tplc="8A02DB1E">
      <w:start w:val="1"/>
      <w:numFmt w:val="bullet"/>
      <w:lvlText w:val="•"/>
      <w:lvlJc w:val="left"/>
      <w:pPr>
        <w:ind w:left="540" w:hanging="280"/>
      </w:pPr>
    </w:lvl>
    <w:lvl w:ilvl="1" w:tplc="861A1AD2">
      <w:numFmt w:val="decimal"/>
      <w:lvlText w:val=""/>
      <w:lvlJc w:val="left"/>
    </w:lvl>
    <w:lvl w:ilvl="2" w:tplc="2B0488FC">
      <w:numFmt w:val="decimal"/>
      <w:lvlText w:val=""/>
      <w:lvlJc w:val="left"/>
    </w:lvl>
    <w:lvl w:ilvl="3" w:tplc="9E38704C">
      <w:numFmt w:val="decimal"/>
      <w:lvlText w:val=""/>
      <w:lvlJc w:val="left"/>
    </w:lvl>
    <w:lvl w:ilvl="4" w:tplc="AFBC54BC">
      <w:numFmt w:val="decimal"/>
      <w:lvlText w:val=""/>
      <w:lvlJc w:val="left"/>
    </w:lvl>
    <w:lvl w:ilvl="5" w:tplc="4BB00F9C">
      <w:numFmt w:val="decimal"/>
      <w:lvlText w:val=""/>
      <w:lvlJc w:val="left"/>
    </w:lvl>
    <w:lvl w:ilvl="6" w:tplc="149847A6">
      <w:numFmt w:val="decimal"/>
      <w:lvlText w:val=""/>
      <w:lvlJc w:val="left"/>
    </w:lvl>
    <w:lvl w:ilvl="7" w:tplc="352C55D6">
      <w:numFmt w:val="decimal"/>
      <w:lvlText w:val=""/>
      <w:lvlJc w:val="left"/>
    </w:lvl>
    <w:lvl w:ilvl="8" w:tplc="6442A0EA">
      <w:numFmt w:val="decimal"/>
      <w:lvlText w:val=""/>
      <w:lvlJc w:val="left"/>
    </w:lvl>
  </w:abstractNum>
  <w:num w:numId="1" w16cid:durableId="1139224766">
    <w:abstractNumId w:val="0"/>
    <w:lvlOverride w:ilvl="0">
      <w:startOverride w:val="1"/>
    </w:lvlOverride>
  </w:num>
  <w:num w:numId="2" w16cid:durableId="1253012282">
    <w:abstractNumId w:val="2"/>
    <w:lvlOverride w:ilvl="0">
      <w:startOverride w:val="1"/>
    </w:lvlOverride>
  </w:num>
  <w:num w:numId="3" w16cid:durableId="104217079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FBE"/>
    <w:rsid w:val="000164C3"/>
    <w:rsid w:val="004B3A87"/>
    <w:rsid w:val="005D4552"/>
    <w:rsid w:val="00A15F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D86B888"/>
  <w15:docId w15:val="{FFCC3F37-655A-DE4F-A3E2-7432FF0CC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22222"/>
        <w:sz w:val="21"/>
        <w:szCs w:val="21"/>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6" w:space="4" w:color="2E75B6"/>
      </w:pBdr>
      <w:spacing w:before="300" w:after="140"/>
      <w:outlineLvl w:val="0"/>
    </w:pPr>
    <w:rPr>
      <w:b/>
      <w:bCs/>
      <w:color w:val="1B3A5C"/>
      <w:sz w:val="30"/>
      <w:szCs w:val="30"/>
    </w:rPr>
  </w:style>
  <w:style w:type="paragraph" w:styleId="Heading2">
    <w:name w:val="heading 2"/>
    <w:uiPriority w:val="9"/>
    <w:unhideWhenUsed/>
    <w:qFormat/>
    <w:pPr>
      <w:spacing w:before="220" w:after="100"/>
      <w:outlineLvl w:val="1"/>
    </w:pPr>
    <w:rPr>
      <w:b/>
      <w:bCs/>
      <w:color w:val="2E75B6"/>
      <w:sz w:val="25"/>
      <w:szCs w:val="25"/>
    </w:rPr>
  </w:style>
  <w:style w:type="paragraph" w:styleId="Heading3">
    <w:name w:val="heading 3"/>
    <w:uiPriority w:val="9"/>
    <w:unhideWhenUsed/>
    <w:qFormat/>
    <w:pPr>
      <w:spacing w:before="160" w:after="80"/>
      <w:outlineLvl w:val="2"/>
    </w:pPr>
    <w:rPr>
      <w:b/>
      <w:bCs/>
      <w:color w:val="2D6A4F"/>
      <w:sz w:val="22"/>
      <w:szCs w:val="22"/>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5769</Words>
  <Characters>32889</Characters>
  <Application>Microsoft Office Word</Application>
  <DocSecurity>0</DocSecurity>
  <Lines>274</Lines>
  <Paragraphs>77</Paragraphs>
  <ScaleCrop>false</ScaleCrop>
  <Company/>
  <LinksUpToDate>false</LinksUpToDate>
  <CharactersWithSpaces>38581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Akuliaruseq Graphite Deposit — Independent Technical Overview</dc:title>
  <dc:creator>Agricola Mining Consultants Pty Ltd</dc:creator>
  <cp:lastModifiedBy>Sue Castle</cp:lastModifiedBy>
  <cp:revision>2</cp:revision>
  <dcterms:created xsi:type="dcterms:W3CDTF">2026-06-15T10:31:00Z</dcterms:created>
  <dcterms:modified xsi:type="dcterms:W3CDTF">2026-06-15T10:31:00Z</dcterms:modified>
</cp:coreProperties>
</file>