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258C3" w14:textId="77777777" w:rsidR="00713291" w:rsidRDefault="00000000">
      <w:pPr>
        <w:pBdr>
          <w:bottom w:val="single" w:sz="18" w:space="4" w:color="1B3A5C"/>
        </w:pBdr>
        <w:spacing w:before="300" w:after="60"/>
      </w:pPr>
      <w:r>
        <w:rPr>
          <w:b/>
          <w:bCs/>
          <w:color w:val="1B3A5C"/>
          <w:sz w:val="26"/>
          <w:szCs w:val="26"/>
        </w:rPr>
        <w:t>AGRICOLA MINING CONSULTANTS PTY LTD</w:t>
      </w:r>
    </w:p>
    <w:p w14:paraId="58E3F373" w14:textId="77777777" w:rsidR="00713291" w:rsidRDefault="00000000">
      <w:pPr>
        <w:spacing w:after="420"/>
      </w:pPr>
      <w:r>
        <w:rPr>
          <w:i/>
          <w:iCs/>
          <w:color w:val="555555"/>
          <w:sz w:val="18"/>
          <w:szCs w:val="18"/>
        </w:rPr>
        <w:t>Independent geological assessment • Mineral resource review • Technical reporting</w:t>
      </w:r>
    </w:p>
    <w:p w14:paraId="3BFF6EF9" w14:textId="77777777" w:rsidR="00713291" w:rsidRDefault="00000000">
      <w:pPr>
        <w:spacing w:before="900" w:after="60"/>
      </w:pPr>
      <w:r>
        <w:rPr>
          <w:b/>
          <w:bCs/>
          <w:color w:val="2E75B6"/>
          <w:sz w:val="24"/>
          <w:szCs w:val="24"/>
        </w:rPr>
        <w:t>INDEPENDENT TECHNICAL OVERVIEW</w:t>
      </w:r>
    </w:p>
    <w:p w14:paraId="51512B62" w14:textId="77777777" w:rsidR="00713291" w:rsidRDefault="00000000">
      <w:pPr>
        <w:spacing w:after="40"/>
      </w:pPr>
      <w:r>
        <w:rPr>
          <w:b/>
          <w:bCs/>
          <w:color w:val="1B3A5C"/>
          <w:sz w:val="56"/>
          <w:szCs w:val="56"/>
        </w:rPr>
        <w:t>The Attu Rare Earth Prospect</w:t>
      </w:r>
    </w:p>
    <w:p w14:paraId="31FA4224" w14:textId="77777777" w:rsidR="00713291" w:rsidRDefault="00000000">
      <w:pPr>
        <w:spacing w:after="40"/>
      </w:pPr>
      <w:r>
        <w:rPr>
          <w:color w:val="1B3A5C"/>
          <w:sz w:val="30"/>
          <w:szCs w:val="30"/>
        </w:rPr>
        <w:t>Carbonatite– and Pegmatite–Hosted REE Mineralisation</w:t>
      </w:r>
    </w:p>
    <w:p w14:paraId="68C83C5D" w14:textId="77777777" w:rsidR="00713291" w:rsidRDefault="00000000">
      <w:pPr>
        <w:spacing w:after="520"/>
      </w:pPr>
      <w:proofErr w:type="spellStart"/>
      <w:r>
        <w:rPr>
          <w:i/>
          <w:iCs/>
          <w:color w:val="555555"/>
          <w:sz w:val="24"/>
          <w:szCs w:val="24"/>
        </w:rPr>
        <w:t>Kangaatsiaq</w:t>
      </w:r>
      <w:proofErr w:type="spellEnd"/>
      <w:r>
        <w:rPr>
          <w:i/>
          <w:iCs/>
          <w:color w:val="555555"/>
          <w:sz w:val="24"/>
          <w:szCs w:val="24"/>
        </w:rPr>
        <w:t xml:space="preserve"> region, central West Greenland</w:t>
      </w:r>
    </w:p>
    <w:p w14:paraId="64C09B18" w14:textId="77777777" w:rsidR="00713291" w:rsidRDefault="00000000">
      <w:pPr>
        <w:spacing w:after="80"/>
      </w:pPr>
      <w:r>
        <w:rPr>
          <w:b/>
          <w:bCs/>
          <w:color w:val="1B3A5C"/>
          <w:sz w:val="22"/>
          <w:szCs w:val="22"/>
        </w:rPr>
        <w:t>Discussion document prepared for investor review</w:t>
      </w:r>
    </w:p>
    <w:p w14:paraId="4C0AC35B" w14:textId="77777777" w:rsidR="00713291" w:rsidRDefault="00000000">
      <w:pPr>
        <w:spacing w:after="600"/>
      </w:pPr>
      <w:r>
        <w:rPr>
          <w:i/>
          <w:iCs/>
          <w:color w:val="B03A2E"/>
          <w:sz w:val="18"/>
          <w:szCs w:val="18"/>
        </w:rPr>
        <w:t>Not a Public Report or Independent Technical Report under JORC, S-K 1300, NI 43-101 or VALMIN</w:t>
      </w:r>
    </w:p>
    <w:tbl>
      <w:tblPr>
        <w:tblW w:w="9360" w:type="dxa"/>
        <w:tblBorders>
          <w:insideH w:val="single" w:sz="1" w:space="0" w:color="D6E4F0"/>
        </w:tblBorders>
        <w:tblCellMar>
          <w:left w:w="10" w:type="dxa"/>
          <w:right w:w="10" w:type="dxa"/>
        </w:tblCellMar>
        <w:tblLook w:val="04A0" w:firstRow="1" w:lastRow="0" w:firstColumn="1" w:lastColumn="0" w:noHBand="0" w:noVBand="1"/>
      </w:tblPr>
      <w:tblGrid>
        <w:gridCol w:w="2600"/>
        <w:gridCol w:w="6760"/>
      </w:tblGrid>
      <w:tr w:rsidR="00713291" w14:paraId="459F4042" w14:textId="77777777">
        <w:tblPrEx>
          <w:tblCellMar>
            <w:top w:w="0" w:type="dxa"/>
            <w:bottom w:w="0" w:type="dxa"/>
          </w:tblCellMar>
        </w:tblPrEx>
        <w:tc>
          <w:tcPr>
            <w:tcW w:w="2600" w:type="dxa"/>
            <w:tcMar>
              <w:top w:w="60" w:type="dxa"/>
              <w:left w:w="0" w:type="dxa"/>
              <w:bottom w:w="60" w:type="dxa"/>
              <w:right w:w="120" w:type="dxa"/>
            </w:tcMar>
          </w:tcPr>
          <w:p w14:paraId="53F55984" w14:textId="77777777" w:rsidR="00713291" w:rsidRDefault="00000000">
            <w:r>
              <w:rPr>
                <w:b/>
                <w:bCs/>
                <w:color w:val="1B3A5C"/>
                <w:sz w:val="19"/>
                <w:szCs w:val="19"/>
              </w:rPr>
              <w:t>Prepared by</w:t>
            </w:r>
          </w:p>
        </w:tc>
        <w:tc>
          <w:tcPr>
            <w:tcW w:w="6760" w:type="dxa"/>
            <w:tcMar>
              <w:top w:w="60" w:type="dxa"/>
              <w:left w:w="0" w:type="dxa"/>
              <w:bottom w:w="60" w:type="dxa"/>
              <w:right w:w="120" w:type="dxa"/>
            </w:tcMar>
          </w:tcPr>
          <w:p w14:paraId="06780688" w14:textId="77777777" w:rsidR="00713291" w:rsidRDefault="00000000">
            <w:r>
              <w:rPr>
                <w:sz w:val="19"/>
                <w:szCs w:val="19"/>
              </w:rPr>
              <w:t>Malcolm Castle, MAusIMM (CP Geo), Principal Consultant</w:t>
            </w:r>
          </w:p>
        </w:tc>
      </w:tr>
      <w:tr w:rsidR="00713291" w14:paraId="636122EA" w14:textId="77777777">
        <w:tblPrEx>
          <w:tblCellMar>
            <w:top w:w="0" w:type="dxa"/>
            <w:bottom w:w="0" w:type="dxa"/>
          </w:tblCellMar>
        </w:tblPrEx>
        <w:tc>
          <w:tcPr>
            <w:tcW w:w="2600" w:type="dxa"/>
            <w:tcMar>
              <w:top w:w="60" w:type="dxa"/>
              <w:left w:w="0" w:type="dxa"/>
              <w:bottom w:w="60" w:type="dxa"/>
              <w:right w:w="120" w:type="dxa"/>
            </w:tcMar>
          </w:tcPr>
          <w:p w14:paraId="09710E4E" w14:textId="77777777" w:rsidR="00713291" w:rsidRDefault="00000000">
            <w:r>
              <w:rPr>
                <w:b/>
                <w:bCs/>
                <w:color w:val="1B3A5C"/>
                <w:sz w:val="19"/>
                <w:szCs w:val="19"/>
              </w:rPr>
              <w:t>For</w:t>
            </w:r>
          </w:p>
        </w:tc>
        <w:tc>
          <w:tcPr>
            <w:tcW w:w="6760" w:type="dxa"/>
            <w:tcMar>
              <w:top w:w="60" w:type="dxa"/>
              <w:left w:w="0" w:type="dxa"/>
              <w:bottom w:w="60" w:type="dxa"/>
              <w:right w:w="120" w:type="dxa"/>
            </w:tcMar>
          </w:tcPr>
          <w:p w14:paraId="513E7025" w14:textId="77777777" w:rsidR="00713291" w:rsidRDefault="00000000">
            <w:r>
              <w:rPr>
                <w:sz w:val="19"/>
                <w:szCs w:val="19"/>
              </w:rPr>
              <w:t>Agricola Mining Consultants Pty Ltd, South Perth, Western Australia</w:t>
            </w:r>
          </w:p>
        </w:tc>
      </w:tr>
      <w:tr w:rsidR="00713291" w14:paraId="624BEAE8" w14:textId="77777777">
        <w:tblPrEx>
          <w:tblCellMar>
            <w:top w:w="0" w:type="dxa"/>
            <w:bottom w:w="0" w:type="dxa"/>
          </w:tblCellMar>
        </w:tblPrEx>
        <w:tc>
          <w:tcPr>
            <w:tcW w:w="2600" w:type="dxa"/>
            <w:tcMar>
              <w:top w:w="60" w:type="dxa"/>
              <w:left w:w="0" w:type="dxa"/>
              <w:bottom w:w="60" w:type="dxa"/>
              <w:right w:w="120" w:type="dxa"/>
            </w:tcMar>
          </w:tcPr>
          <w:p w14:paraId="2085654B" w14:textId="77777777" w:rsidR="00713291" w:rsidRDefault="00000000">
            <w:r>
              <w:rPr>
                <w:b/>
                <w:bCs/>
                <w:color w:val="1B3A5C"/>
                <w:sz w:val="19"/>
                <w:szCs w:val="19"/>
              </w:rPr>
              <w:t>Document type</w:t>
            </w:r>
          </w:p>
        </w:tc>
        <w:tc>
          <w:tcPr>
            <w:tcW w:w="6760" w:type="dxa"/>
            <w:tcMar>
              <w:top w:w="60" w:type="dxa"/>
              <w:left w:w="0" w:type="dxa"/>
              <w:bottom w:w="60" w:type="dxa"/>
              <w:right w:w="120" w:type="dxa"/>
            </w:tcMar>
          </w:tcPr>
          <w:p w14:paraId="388BB282" w14:textId="77777777" w:rsidR="00713291" w:rsidRDefault="00000000">
            <w:r>
              <w:rPr>
                <w:sz w:val="19"/>
                <w:szCs w:val="19"/>
              </w:rPr>
              <w:t>Preliminary technical overview / investor discussion paper</w:t>
            </w:r>
          </w:p>
        </w:tc>
      </w:tr>
      <w:tr w:rsidR="00713291" w14:paraId="30C13864" w14:textId="77777777">
        <w:tblPrEx>
          <w:tblCellMar>
            <w:top w:w="0" w:type="dxa"/>
            <w:bottom w:w="0" w:type="dxa"/>
          </w:tblCellMar>
        </w:tblPrEx>
        <w:tc>
          <w:tcPr>
            <w:tcW w:w="2600" w:type="dxa"/>
            <w:tcMar>
              <w:top w:w="60" w:type="dxa"/>
              <w:left w:w="0" w:type="dxa"/>
              <w:bottom w:w="60" w:type="dxa"/>
              <w:right w:w="120" w:type="dxa"/>
            </w:tcMar>
          </w:tcPr>
          <w:p w14:paraId="157FC3A4" w14:textId="77777777" w:rsidR="00713291" w:rsidRDefault="00000000">
            <w:r>
              <w:rPr>
                <w:b/>
                <w:bCs/>
                <w:color w:val="1B3A5C"/>
                <w:sz w:val="19"/>
                <w:szCs w:val="19"/>
              </w:rPr>
              <w:t>Status</w:t>
            </w:r>
          </w:p>
        </w:tc>
        <w:tc>
          <w:tcPr>
            <w:tcW w:w="6760" w:type="dxa"/>
            <w:tcMar>
              <w:top w:w="60" w:type="dxa"/>
              <w:left w:w="0" w:type="dxa"/>
              <w:bottom w:w="60" w:type="dxa"/>
              <w:right w:w="120" w:type="dxa"/>
            </w:tcMar>
          </w:tcPr>
          <w:p w14:paraId="618119A2" w14:textId="77777777" w:rsidR="00713291" w:rsidRDefault="00000000">
            <w:r>
              <w:rPr>
                <w:sz w:val="19"/>
                <w:szCs w:val="19"/>
              </w:rPr>
              <w:t>Exploration-stage prospect — no Mineral Resource estimated</w:t>
            </w:r>
          </w:p>
        </w:tc>
      </w:tr>
      <w:tr w:rsidR="00713291" w14:paraId="3F83D76F" w14:textId="77777777">
        <w:tblPrEx>
          <w:tblCellMar>
            <w:top w:w="0" w:type="dxa"/>
            <w:bottom w:w="0" w:type="dxa"/>
          </w:tblCellMar>
        </w:tblPrEx>
        <w:tc>
          <w:tcPr>
            <w:tcW w:w="2600" w:type="dxa"/>
            <w:tcMar>
              <w:top w:w="60" w:type="dxa"/>
              <w:left w:w="0" w:type="dxa"/>
              <w:bottom w:w="60" w:type="dxa"/>
              <w:right w:w="120" w:type="dxa"/>
            </w:tcMar>
          </w:tcPr>
          <w:p w14:paraId="7F9D1450" w14:textId="77777777" w:rsidR="00713291" w:rsidRDefault="00000000">
            <w:r>
              <w:rPr>
                <w:b/>
                <w:bCs/>
                <w:color w:val="1B3A5C"/>
                <w:sz w:val="19"/>
                <w:szCs w:val="19"/>
              </w:rPr>
              <w:t>Date</w:t>
            </w:r>
          </w:p>
        </w:tc>
        <w:tc>
          <w:tcPr>
            <w:tcW w:w="6760" w:type="dxa"/>
            <w:tcMar>
              <w:top w:w="60" w:type="dxa"/>
              <w:left w:w="0" w:type="dxa"/>
              <w:bottom w:w="60" w:type="dxa"/>
              <w:right w:w="120" w:type="dxa"/>
            </w:tcMar>
          </w:tcPr>
          <w:p w14:paraId="482145E9" w14:textId="77777777" w:rsidR="00713291" w:rsidRDefault="00000000">
            <w:r>
              <w:rPr>
                <w:sz w:val="19"/>
                <w:szCs w:val="19"/>
              </w:rPr>
              <w:t>14 June 2026</w:t>
            </w:r>
          </w:p>
        </w:tc>
      </w:tr>
      <w:tr w:rsidR="00713291" w14:paraId="2D7D6C4C" w14:textId="77777777">
        <w:tblPrEx>
          <w:tblCellMar>
            <w:top w:w="0" w:type="dxa"/>
            <w:bottom w:w="0" w:type="dxa"/>
          </w:tblCellMar>
        </w:tblPrEx>
        <w:tc>
          <w:tcPr>
            <w:tcW w:w="2600" w:type="dxa"/>
            <w:tcMar>
              <w:top w:w="60" w:type="dxa"/>
              <w:left w:w="0" w:type="dxa"/>
              <w:bottom w:w="60" w:type="dxa"/>
              <w:right w:w="120" w:type="dxa"/>
            </w:tcMar>
          </w:tcPr>
          <w:p w14:paraId="3FEC845B" w14:textId="77777777" w:rsidR="00713291" w:rsidRDefault="00000000">
            <w:r>
              <w:rPr>
                <w:b/>
                <w:bCs/>
                <w:color w:val="1B3A5C"/>
                <w:sz w:val="19"/>
                <w:szCs w:val="19"/>
              </w:rPr>
              <w:t>Version</w:t>
            </w:r>
          </w:p>
        </w:tc>
        <w:tc>
          <w:tcPr>
            <w:tcW w:w="6760" w:type="dxa"/>
            <w:tcMar>
              <w:top w:w="60" w:type="dxa"/>
              <w:left w:w="0" w:type="dxa"/>
              <w:bottom w:w="60" w:type="dxa"/>
              <w:right w:w="120" w:type="dxa"/>
            </w:tcMar>
          </w:tcPr>
          <w:p w14:paraId="6F9E7863" w14:textId="77777777" w:rsidR="00713291" w:rsidRDefault="00000000">
            <w:r>
              <w:rPr>
                <w:sz w:val="19"/>
                <w:szCs w:val="19"/>
              </w:rPr>
              <w:t>Draft 1.0 — for discussion</w:t>
            </w:r>
          </w:p>
        </w:tc>
      </w:tr>
    </w:tbl>
    <w:p w14:paraId="3FB05C87" w14:textId="77777777" w:rsidR="00713291" w:rsidRDefault="00000000">
      <w:r>
        <w:br w:type="page"/>
      </w:r>
    </w:p>
    <w:p w14:paraId="6BDA745E" w14:textId="77777777" w:rsidR="00713291" w:rsidRDefault="00000000">
      <w:pPr>
        <w:pStyle w:val="Heading1"/>
      </w:pPr>
      <w:r>
        <w:lastRenderedPageBreak/>
        <w:t>Important Notice and Basis of Preparation</w:t>
      </w:r>
    </w:p>
    <w:tbl>
      <w:tblPr>
        <w:tblW w:w="9360" w:type="dxa"/>
        <w:tblBorders>
          <w:top w:val="single" w:sz="2" w:space="0" w:color="C98A00"/>
          <w:left w:val="single" w:sz="24" w:space="0" w:color="C98A00"/>
          <w:bottom w:val="single" w:sz="2" w:space="0" w:color="C98A00"/>
          <w:right w:val="single" w:sz="2" w:space="0" w:color="C98A0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13291" w14:paraId="0662BBE5" w14:textId="77777777">
        <w:tblPrEx>
          <w:tblCellMar>
            <w:top w:w="0" w:type="dxa"/>
            <w:bottom w:w="0" w:type="dxa"/>
          </w:tblCellMar>
        </w:tblPrEx>
        <w:tc>
          <w:tcPr>
            <w:tcW w:w="9360" w:type="dxa"/>
            <w:shd w:val="clear" w:color="auto" w:fill="FCEFD2"/>
            <w:tcMar>
              <w:top w:w="140" w:type="dxa"/>
              <w:left w:w="200" w:type="dxa"/>
              <w:bottom w:w="140" w:type="dxa"/>
              <w:right w:w="160" w:type="dxa"/>
            </w:tcMar>
          </w:tcPr>
          <w:p w14:paraId="36AF255F" w14:textId="77777777" w:rsidR="00713291" w:rsidRDefault="00000000">
            <w:pPr>
              <w:spacing w:after="80"/>
            </w:pPr>
            <w:r>
              <w:rPr>
                <w:b/>
                <w:bCs/>
                <w:color w:val="C98A00"/>
                <w:sz w:val="22"/>
                <w:szCs w:val="22"/>
              </w:rPr>
              <w:t>Please read before relying on this document</w:t>
            </w:r>
          </w:p>
          <w:p w14:paraId="783984A6" w14:textId="77777777" w:rsidR="00713291" w:rsidRDefault="00000000">
            <w:pPr>
              <w:spacing w:after="80" w:line="268" w:lineRule="auto"/>
              <w:jc w:val="both"/>
            </w:pPr>
            <w:r>
              <w:rPr>
                <w:b/>
                <w:bCs/>
              </w:rPr>
              <w:t xml:space="preserve">Purpose and status. </w:t>
            </w:r>
            <w:r>
              <w:t>This document has been prepared by Agricola Mining Consultants Pty Ltd as an internal discussion paper to support preliminary conversations with prospective investors regarding rare earth element (REE) mineralisation in the vicinity of Attu, central West Greenland. It is a high-level technical overview only.</w:t>
            </w:r>
          </w:p>
          <w:p w14:paraId="51A2DE06" w14:textId="77777777" w:rsidR="00713291" w:rsidRDefault="00000000">
            <w:pPr>
              <w:spacing w:after="80" w:line="268" w:lineRule="auto"/>
              <w:jc w:val="both"/>
            </w:pPr>
            <w:r>
              <w:rPr>
                <w:b/>
                <w:bCs/>
              </w:rPr>
              <w:t xml:space="preserve">Not a Public Report. </w:t>
            </w:r>
            <w:r>
              <w:t>This is not a Public Report and is not an Independent Technical Report, Competent Person’s Report or Qualified Person’s report under the JORC Code (2012), S-K 1300, NI 43-101 or the VALMIN Code (2015). It does not report a Mineral Resource, a Mineral Reserve or an Exploration Target, and no economic, valuation or investment recommendation is made or implied.</w:t>
            </w:r>
          </w:p>
          <w:p w14:paraId="702C6079" w14:textId="77777777" w:rsidR="00713291" w:rsidRDefault="00000000">
            <w:pPr>
              <w:spacing w:after="80" w:line="268" w:lineRule="auto"/>
              <w:jc w:val="both"/>
            </w:pPr>
            <w:r>
              <w:rPr>
                <w:b/>
                <w:bCs/>
              </w:rPr>
              <w:t xml:space="preserve">Sources. </w:t>
            </w:r>
            <w:r>
              <w:t>The technical content is derived from publicly available academic and government-survey material — principally the peer-reviewed study of the Attu carbonatite by Knudsen et al. (2024) and the Greenland Mineral Resource Portal occurrence data sheet maintained by GEUS. Agricola has not visited the site, has not collected or verified any sample, and has not independently confirmed any assay, age determination or mineral right.</w:t>
            </w:r>
          </w:p>
          <w:p w14:paraId="717DE90E" w14:textId="77777777" w:rsidR="00713291" w:rsidRDefault="00000000">
            <w:pPr>
              <w:spacing w:line="268" w:lineRule="auto"/>
              <w:jc w:val="both"/>
            </w:pPr>
            <w:r>
              <w:rPr>
                <w:b/>
                <w:bCs/>
              </w:rPr>
              <w:t xml:space="preserve">Grades quoted are best-sample values. </w:t>
            </w:r>
            <w:r>
              <w:t>All grades cited herein are individual rock-sample (grab/specimen) results reported in the source literature. They are not, and must not be read as, representative grades of any volume of rock. There is no drilling, no continuity data and no resource at this prospect.</w:t>
            </w:r>
          </w:p>
        </w:tc>
      </w:tr>
    </w:tbl>
    <w:p w14:paraId="14CEF2C5" w14:textId="77777777" w:rsidR="00713291" w:rsidRDefault="00000000">
      <w:r>
        <w:br w:type="page"/>
      </w:r>
    </w:p>
    <w:p w14:paraId="4053FB70" w14:textId="77777777" w:rsidR="00713291" w:rsidRDefault="00000000">
      <w:pPr>
        <w:pStyle w:val="Heading1"/>
      </w:pPr>
      <w:r>
        <w:lastRenderedPageBreak/>
        <w:t>1. Executive Summary</w:t>
      </w:r>
    </w:p>
    <w:p w14:paraId="70E1C217" w14:textId="77777777" w:rsidR="00713291" w:rsidRDefault="00000000">
      <w:pPr>
        <w:spacing w:after="140" w:line="276" w:lineRule="auto"/>
        <w:jc w:val="both"/>
      </w:pPr>
      <w:r>
        <w:t xml:space="preserve">Attu sits in an area of central West Greenland that has, over the past two years, produced one of the more striking rare earth discoveries reported anywhere in the North Atlantic craton. In 2024 a team led by the Geological Survey of Denmark and Greenland (GEUS) published the discovery of the </w:t>
      </w:r>
      <w:r>
        <w:rPr>
          <w:b/>
          <w:bCs/>
        </w:rPr>
        <w:t>Attu carbonatite</w:t>
      </w:r>
      <w:r>
        <w:t xml:space="preserve"> — a narrow, Mesoproterozoic (ca. 1.5 billion year old) dyke carrying exceptionally high concentrations of rare earth elements, strontium and barium in </w:t>
      </w:r>
      <w:r>
        <w:rPr>
          <w:b/>
          <w:bCs/>
        </w:rPr>
        <w:t>primary</w:t>
      </w:r>
      <w:r>
        <w:t xml:space="preserve"> magmatic carbonate minerals, with the best samples returning up to 12.4 wt% total REE oxide, 14.6 wt% </w:t>
      </w:r>
      <w:proofErr w:type="spellStart"/>
      <w:r>
        <w:t>SrO</w:t>
      </w:r>
      <w:proofErr w:type="spellEnd"/>
      <w:r>
        <w:t xml:space="preserve"> and 12.4 wt% </w:t>
      </w:r>
      <w:proofErr w:type="spellStart"/>
      <w:r>
        <w:t>BaO</w:t>
      </w:r>
      <w:proofErr w:type="spellEnd"/>
      <w:r>
        <w:t>.</w:t>
      </w:r>
    </w:p>
    <w:p w14:paraId="1FDFD45C" w14:textId="77777777" w:rsidR="00713291" w:rsidRDefault="00000000">
      <w:pPr>
        <w:spacing w:after="140" w:line="276" w:lineRule="auto"/>
        <w:jc w:val="both"/>
      </w:pPr>
      <w:r>
        <w:t xml:space="preserve">The grade tenor is genuinely exceptional, and the mineralogy is unusual in a way that is potentially favourable for processing. But the prospect is at the very earliest stage of evaluation. The discovery arose from academic mapping, not from a company exploration programme; the published work describes a single dyke and a handful of rock samples; there is </w:t>
      </w:r>
      <w:r>
        <w:rPr>
          <w:b/>
          <w:bCs/>
        </w:rPr>
        <w:t>no drilling, no defined size, no metallurgical test work and no Mineral Resource</w:t>
      </w:r>
      <w:r>
        <w:t>. The mineral-tenure position over the carbonatite occurrence has not been confirmed by Agricola.</w:t>
      </w:r>
    </w:p>
    <w:p w14:paraId="68E28564" w14:textId="77777777" w:rsidR="00713291" w:rsidRDefault="00000000">
      <w:pPr>
        <w:spacing w:after="140" w:line="276" w:lineRule="auto"/>
        <w:jc w:val="both"/>
      </w:pPr>
      <w:r>
        <w:t>A separate and older style of REE mineralisation — allanite-bearing granitic pegmatites — is also catalogued by GEUS at the Attu locality itself. That occurrence is lower in tenor and is classified by GEUS only as a mineralisation “indication”; it is of secondary interest and is described here for completeness so that the two are not conflated.</w:t>
      </w:r>
    </w:p>
    <w:p w14:paraId="55244177" w14:textId="77777777" w:rsidR="00713291" w:rsidRDefault="00000000">
      <w:pPr>
        <w:spacing w:after="140" w:line="276" w:lineRule="auto"/>
        <w:jc w:val="both"/>
      </w:pPr>
      <w:r>
        <w:t xml:space="preserve">Against a backdrop of intense strategic interest in Greenland’s critical minerals through 2025–26, Attu is best characterised to investors as a </w:t>
      </w:r>
      <w:r>
        <w:rPr>
          <w:b/>
          <w:bCs/>
        </w:rPr>
        <w:t>high-grade, high-uncertainty exploration target worthy of a first-pass field programme</w:t>
      </w:r>
      <w:r>
        <w:t xml:space="preserve"> — not as a resource, and not as a development asset.</w:t>
      </w:r>
    </w:p>
    <w:p w14:paraId="6AF060E6" w14:textId="77777777" w:rsidR="00713291" w:rsidRDefault="00000000">
      <w:pPr>
        <w:pStyle w:val="Heading3"/>
      </w:pPr>
      <w:r>
        <w:t>Snapshot</w:t>
      </w: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2700"/>
        <w:gridCol w:w="6660"/>
      </w:tblGrid>
      <w:tr w:rsidR="00713291" w14:paraId="4801E052" w14:textId="77777777">
        <w:tblPrEx>
          <w:tblCellMar>
            <w:top w:w="0" w:type="dxa"/>
            <w:bottom w:w="0" w:type="dxa"/>
          </w:tblCellMar>
        </w:tblPrEx>
        <w:trPr>
          <w:tblHeader/>
        </w:trPr>
        <w:tc>
          <w:tcPr>
            <w:tcW w:w="2700" w:type="dxa"/>
            <w:shd w:val="clear" w:color="auto" w:fill="1B3A5C"/>
            <w:tcMar>
              <w:top w:w="70" w:type="dxa"/>
              <w:left w:w="110" w:type="dxa"/>
              <w:bottom w:w="70" w:type="dxa"/>
              <w:right w:w="110" w:type="dxa"/>
            </w:tcMar>
            <w:vAlign w:val="center"/>
          </w:tcPr>
          <w:p w14:paraId="22C23C43" w14:textId="77777777" w:rsidR="00713291" w:rsidRDefault="00000000">
            <w:r>
              <w:rPr>
                <w:b/>
                <w:bCs/>
                <w:color w:val="FFFFFF"/>
                <w:sz w:val="19"/>
                <w:szCs w:val="19"/>
              </w:rPr>
              <w:t>Item</w:t>
            </w:r>
          </w:p>
        </w:tc>
        <w:tc>
          <w:tcPr>
            <w:tcW w:w="6660" w:type="dxa"/>
            <w:shd w:val="clear" w:color="auto" w:fill="1B3A5C"/>
            <w:tcMar>
              <w:top w:w="70" w:type="dxa"/>
              <w:left w:w="110" w:type="dxa"/>
              <w:bottom w:w="70" w:type="dxa"/>
              <w:right w:w="110" w:type="dxa"/>
            </w:tcMar>
            <w:vAlign w:val="center"/>
          </w:tcPr>
          <w:p w14:paraId="108E8E9D" w14:textId="77777777" w:rsidR="00713291" w:rsidRDefault="00000000">
            <w:r>
              <w:rPr>
                <w:b/>
                <w:bCs/>
                <w:color w:val="FFFFFF"/>
                <w:sz w:val="19"/>
                <w:szCs w:val="19"/>
              </w:rPr>
              <w:t>Summary position</w:t>
            </w:r>
          </w:p>
        </w:tc>
      </w:tr>
      <w:tr w:rsidR="00713291" w14:paraId="60FBC0F1" w14:textId="77777777">
        <w:tblPrEx>
          <w:tblCellMar>
            <w:top w:w="0" w:type="dxa"/>
            <w:bottom w:w="0" w:type="dxa"/>
          </w:tblCellMar>
        </w:tblPrEx>
        <w:tc>
          <w:tcPr>
            <w:tcW w:w="2700" w:type="dxa"/>
            <w:shd w:val="clear" w:color="auto" w:fill="FFFFFF"/>
            <w:tcMar>
              <w:top w:w="60" w:type="dxa"/>
              <w:left w:w="110" w:type="dxa"/>
              <w:bottom w:w="60" w:type="dxa"/>
              <w:right w:w="110" w:type="dxa"/>
            </w:tcMar>
            <w:vAlign w:val="center"/>
          </w:tcPr>
          <w:p w14:paraId="0B0787FA" w14:textId="77777777" w:rsidR="00713291" w:rsidRDefault="00000000">
            <w:pPr>
              <w:spacing w:line="260" w:lineRule="auto"/>
            </w:pPr>
            <w:r>
              <w:rPr>
                <w:sz w:val="19"/>
                <w:szCs w:val="19"/>
              </w:rPr>
              <w:t>Primary subject</w:t>
            </w:r>
          </w:p>
        </w:tc>
        <w:tc>
          <w:tcPr>
            <w:tcW w:w="6660" w:type="dxa"/>
            <w:shd w:val="clear" w:color="auto" w:fill="FFFFFF"/>
            <w:tcMar>
              <w:top w:w="60" w:type="dxa"/>
              <w:left w:w="110" w:type="dxa"/>
              <w:bottom w:w="60" w:type="dxa"/>
              <w:right w:w="110" w:type="dxa"/>
            </w:tcMar>
            <w:vAlign w:val="center"/>
          </w:tcPr>
          <w:p w14:paraId="3AF841A9" w14:textId="77777777" w:rsidR="00713291" w:rsidRDefault="00000000">
            <w:pPr>
              <w:spacing w:line="260" w:lineRule="auto"/>
            </w:pPr>
            <w:r>
              <w:rPr>
                <w:sz w:val="19"/>
                <w:szCs w:val="19"/>
              </w:rPr>
              <w:t>Attu carbonatite — narrow Mesoproterozoic REE–Sr–Ba dyke (Knudsen et al., 2024)</w:t>
            </w:r>
          </w:p>
        </w:tc>
      </w:tr>
      <w:tr w:rsidR="00713291" w14:paraId="579435A1" w14:textId="77777777">
        <w:tblPrEx>
          <w:tblCellMar>
            <w:top w:w="0" w:type="dxa"/>
            <w:bottom w:w="0" w:type="dxa"/>
          </w:tblCellMar>
        </w:tblPrEx>
        <w:tc>
          <w:tcPr>
            <w:tcW w:w="2700" w:type="dxa"/>
            <w:shd w:val="clear" w:color="auto" w:fill="EEF3F9"/>
            <w:tcMar>
              <w:top w:w="60" w:type="dxa"/>
              <w:left w:w="110" w:type="dxa"/>
              <w:bottom w:w="60" w:type="dxa"/>
              <w:right w:w="110" w:type="dxa"/>
            </w:tcMar>
            <w:vAlign w:val="center"/>
          </w:tcPr>
          <w:p w14:paraId="3525C182" w14:textId="77777777" w:rsidR="00713291" w:rsidRDefault="00000000">
            <w:pPr>
              <w:spacing w:line="260" w:lineRule="auto"/>
            </w:pPr>
            <w:r>
              <w:rPr>
                <w:sz w:val="19"/>
                <w:szCs w:val="19"/>
              </w:rPr>
              <w:t>Location</w:t>
            </w:r>
          </w:p>
        </w:tc>
        <w:tc>
          <w:tcPr>
            <w:tcW w:w="6660" w:type="dxa"/>
            <w:shd w:val="clear" w:color="auto" w:fill="EEF3F9"/>
            <w:tcMar>
              <w:top w:w="60" w:type="dxa"/>
              <w:left w:w="110" w:type="dxa"/>
              <w:bottom w:w="60" w:type="dxa"/>
              <w:right w:w="110" w:type="dxa"/>
            </w:tcMar>
            <w:vAlign w:val="center"/>
          </w:tcPr>
          <w:p w14:paraId="047D578C" w14:textId="77777777" w:rsidR="00713291" w:rsidRDefault="00000000">
            <w:pPr>
              <w:spacing w:line="260" w:lineRule="auto"/>
            </w:pPr>
            <w:r>
              <w:rPr>
                <w:sz w:val="19"/>
                <w:szCs w:val="19"/>
              </w:rPr>
              <w:t xml:space="preserve">Southern </w:t>
            </w:r>
            <w:proofErr w:type="spellStart"/>
            <w:r>
              <w:rPr>
                <w:sz w:val="19"/>
                <w:szCs w:val="19"/>
              </w:rPr>
              <w:t>Uperniviarsuk</w:t>
            </w:r>
            <w:proofErr w:type="spellEnd"/>
            <w:r>
              <w:rPr>
                <w:sz w:val="19"/>
                <w:szCs w:val="19"/>
              </w:rPr>
              <w:t xml:space="preserve"> island, ~10 km NE of Attu village, between Sisimiut and </w:t>
            </w:r>
            <w:proofErr w:type="spellStart"/>
            <w:r>
              <w:rPr>
                <w:sz w:val="19"/>
                <w:szCs w:val="19"/>
              </w:rPr>
              <w:t>Aasiaat</w:t>
            </w:r>
            <w:proofErr w:type="spellEnd"/>
            <w:r>
              <w:rPr>
                <w:sz w:val="19"/>
                <w:szCs w:val="19"/>
              </w:rPr>
              <w:t>, West Greenland</w:t>
            </w:r>
          </w:p>
        </w:tc>
      </w:tr>
      <w:tr w:rsidR="00713291" w14:paraId="7BD974F3" w14:textId="77777777">
        <w:tblPrEx>
          <w:tblCellMar>
            <w:top w:w="0" w:type="dxa"/>
            <w:bottom w:w="0" w:type="dxa"/>
          </w:tblCellMar>
        </w:tblPrEx>
        <w:tc>
          <w:tcPr>
            <w:tcW w:w="2700" w:type="dxa"/>
            <w:shd w:val="clear" w:color="auto" w:fill="FFFFFF"/>
            <w:tcMar>
              <w:top w:w="60" w:type="dxa"/>
              <w:left w:w="110" w:type="dxa"/>
              <w:bottom w:w="60" w:type="dxa"/>
              <w:right w:w="110" w:type="dxa"/>
            </w:tcMar>
            <w:vAlign w:val="center"/>
          </w:tcPr>
          <w:p w14:paraId="6BDA3BED" w14:textId="77777777" w:rsidR="00713291" w:rsidRDefault="00000000">
            <w:pPr>
              <w:spacing w:line="260" w:lineRule="auto"/>
            </w:pPr>
            <w:r>
              <w:rPr>
                <w:sz w:val="19"/>
                <w:szCs w:val="19"/>
              </w:rPr>
              <w:t>Headline tenor (best samples)</w:t>
            </w:r>
          </w:p>
        </w:tc>
        <w:tc>
          <w:tcPr>
            <w:tcW w:w="6660" w:type="dxa"/>
            <w:shd w:val="clear" w:color="auto" w:fill="FFFFFF"/>
            <w:tcMar>
              <w:top w:w="60" w:type="dxa"/>
              <w:left w:w="110" w:type="dxa"/>
              <w:bottom w:w="60" w:type="dxa"/>
              <w:right w:w="110" w:type="dxa"/>
            </w:tcMar>
            <w:vAlign w:val="center"/>
          </w:tcPr>
          <w:p w14:paraId="2E39D627" w14:textId="77777777" w:rsidR="00713291" w:rsidRDefault="00000000">
            <w:pPr>
              <w:spacing w:line="260" w:lineRule="auto"/>
            </w:pPr>
            <w:r>
              <w:rPr>
                <w:sz w:val="19"/>
                <w:szCs w:val="19"/>
              </w:rPr>
              <w:t xml:space="preserve">Up to 12.4 wt% TREO; 14.6 wt% </w:t>
            </w:r>
            <w:proofErr w:type="spellStart"/>
            <w:r>
              <w:rPr>
                <w:sz w:val="19"/>
                <w:szCs w:val="19"/>
              </w:rPr>
              <w:t>SrO</w:t>
            </w:r>
            <w:proofErr w:type="spellEnd"/>
            <w:r>
              <w:rPr>
                <w:sz w:val="19"/>
                <w:szCs w:val="19"/>
              </w:rPr>
              <w:t xml:space="preserve">; 12.4 wt% </w:t>
            </w:r>
            <w:proofErr w:type="spellStart"/>
            <w:r>
              <w:rPr>
                <w:sz w:val="19"/>
                <w:szCs w:val="19"/>
              </w:rPr>
              <w:t>BaO</w:t>
            </w:r>
            <w:proofErr w:type="spellEnd"/>
          </w:p>
        </w:tc>
      </w:tr>
      <w:tr w:rsidR="00713291" w14:paraId="6440A905" w14:textId="77777777">
        <w:tblPrEx>
          <w:tblCellMar>
            <w:top w:w="0" w:type="dxa"/>
            <w:bottom w:w="0" w:type="dxa"/>
          </w:tblCellMar>
        </w:tblPrEx>
        <w:tc>
          <w:tcPr>
            <w:tcW w:w="2700" w:type="dxa"/>
            <w:shd w:val="clear" w:color="auto" w:fill="EEF3F9"/>
            <w:tcMar>
              <w:top w:w="60" w:type="dxa"/>
              <w:left w:w="110" w:type="dxa"/>
              <w:bottom w:w="60" w:type="dxa"/>
              <w:right w:w="110" w:type="dxa"/>
            </w:tcMar>
            <w:vAlign w:val="center"/>
          </w:tcPr>
          <w:p w14:paraId="606885DC" w14:textId="77777777" w:rsidR="00713291" w:rsidRDefault="00000000">
            <w:pPr>
              <w:spacing w:line="260" w:lineRule="auto"/>
            </w:pPr>
            <w:r>
              <w:rPr>
                <w:sz w:val="19"/>
                <w:szCs w:val="19"/>
              </w:rPr>
              <w:t>Key REE minerals</w:t>
            </w:r>
          </w:p>
        </w:tc>
        <w:tc>
          <w:tcPr>
            <w:tcW w:w="6660" w:type="dxa"/>
            <w:shd w:val="clear" w:color="auto" w:fill="EEF3F9"/>
            <w:tcMar>
              <w:top w:w="60" w:type="dxa"/>
              <w:left w:w="110" w:type="dxa"/>
              <w:bottom w:w="60" w:type="dxa"/>
              <w:right w:w="110" w:type="dxa"/>
            </w:tcMar>
            <w:vAlign w:val="center"/>
          </w:tcPr>
          <w:p w14:paraId="24E4453B" w14:textId="77777777" w:rsidR="00713291" w:rsidRDefault="00000000">
            <w:pPr>
              <w:spacing w:line="260" w:lineRule="auto"/>
            </w:pPr>
            <w:r>
              <w:rPr>
                <w:sz w:val="19"/>
                <w:szCs w:val="19"/>
              </w:rPr>
              <w:t xml:space="preserve">Monazite-(Ce), </w:t>
            </w:r>
            <w:proofErr w:type="spellStart"/>
            <w:r>
              <w:rPr>
                <w:sz w:val="19"/>
                <w:szCs w:val="19"/>
              </w:rPr>
              <w:t>daqingshanite</w:t>
            </w:r>
            <w:proofErr w:type="spellEnd"/>
            <w:r>
              <w:rPr>
                <w:sz w:val="19"/>
                <w:szCs w:val="19"/>
              </w:rPr>
              <w:t xml:space="preserve">-(Ce), </w:t>
            </w:r>
            <w:proofErr w:type="spellStart"/>
            <w:r>
              <w:rPr>
                <w:sz w:val="19"/>
                <w:szCs w:val="19"/>
              </w:rPr>
              <w:t>burbankite</w:t>
            </w:r>
            <w:proofErr w:type="spellEnd"/>
            <w:r>
              <w:rPr>
                <w:sz w:val="19"/>
                <w:szCs w:val="19"/>
              </w:rPr>
              <w:t xml:space="preserve"> (all primary magmatic)</w:t>
            </w:r>
          </w:p>
        </w:tc>
      </w:tr>
      <w:tr w:rsidR="00713291" w14:paraId="737422A2" w14:textId="77777777">
        <w:tblPrEx>
          <w:tblCellMar>
            <w:top w:w="0" w:type="dxa"/>
            <w:bottom w:w="0" w:type="dxa"/>
          </w:tblCellMar>
        </w:tblPrEx>
        <w:tc>
          <w:tcPr>
            <w:tcW w:w="2700" w:type="dxa"/>
            <w:shd w:val="clear" w:color="auto" w:fill="FFFFFF"/>
            <w:tcMar>
              <w:top w:w="60" w:type="dxa"/>
              <w:left w:w="110" w:type="dxa"/>
              <w:bottom w:w="60" w:type="dxa"/>
              <w:right w:w="110" w:type="dxa"/>
            </w:tcMar>
            <w:vAlign w:val="center"/>
          </w:tcPr>
          <w:p w14:paraId="1FA114B0" w14:textId="77777777" w:rsidR="00713291" w:rsidRDefault="00000000">
            <w:pPr>
              <w:spacing w:line="260" w:lineRule="auto"/>
            </w:pPr>
            <w:r>
              <w:rPr>
                <w:sz w:val="19"/>
                <w:szCs w:val="19"/>
              </w:rPr>
              <w:t>Secondary target</w:t>
            </w:r>
          </w:p>
        </w:tc>
        <w:tc>
          <w:tcPr>
            <w:tcW w:w="6660" w:type="dxa"/>
            <w:shd w:val="clear" w:color="auto" w:fill="FFFFFF"/>
            <w:tcMar>
              <w:top w:w="60" w:type="dxa"/>
              <w:left w:w="110" w:type="dxa"/>
              <w:bottom w:w="60" w:type="dxa"/>
              <w:right w:w="110" w:type="dxa"/>
            </w:tcMar>
            <w:vAlign w:val="center"/>
          </w:tcPr>
          <w:p w14:paraId="01A35EAF" w14:textId="77777777" w:rsidR="00713291" w:rsidRDefault="00000000">
            <w:pPr>
              <w:spacing w:line="260" w:lineRule="auto"/>
            </w:pPr>
            <w:r>
              <w:rPr>
                <w:sz w:val="19"/>
                <w:szCs w:val="19"/>
              </w:rPr>
              <w:t>Allanite-bearing pegmatites at Attu locality (GEUS occurrence; “indication” only)</w:t>
            </w:r>
          </w:p>
        </w:tc>
      </w:tr>
      <w:tr w:rsidR="00713291" w14:paraId="45C6991D" w14:textId="77777777">
        <w:tblPrEx>
          <w:tblCellMar>
            <w:top w:w="0" w:type="dxa"/>
            <w:bottom w:w="0" w:type="dxa"/>
          </w:tblCellMar>
        </w:tblPrEx>
        <w:tc>
          <w:tcPr>
            <w:tcW w:w="2700" w:type="dxa"/>
            <w:shd w:val="clear" w:color="auto" w:fill="EEF3F9"/>
            <w:tcMar>
              <w:top w:w="60" w:type="dxa"/>
              <w:left w:w="110" w:type="dxa"/>
              <w:bottom w:w="60" w:type="dxa"/>
              <w:right w:w="110" w:type="dxa"/>
            </w:tcMar>
            <w:vAlign w:val="center"/>
          </w:tcPr>
          <w:p w14:paraId="4961907F" w14:textId="77777777" w:rsidR="00713291" w:rsidRDefault="00000000">
            <w:pPr>
              <w:spacing w:line="260" w:lineRule="auto"/>
            </w:pPr>
            <w:r>
              <w:rPr>
                <w:sz w:val="19"/>
                <w:szCs w:val="19"/>
              </w:rPr>
              <w:t>Development stage</w:t>
            </w:r>
          </w:p>
        </w:tc>
        <w:tc>
          <w:tcPr>
            <w:tcW w:w="6660" w:type="dxa"/>
            <w:shd w:val="clear" w:color="auto" w:fill="EEF3F9"/>
            <w:tcMar>
              <w:top w:w="60" w:type="dxa"/>
              <w:left w:w="110" w:type="dxa"/>
              <w:bottom w:w="60" w:type="dxa"/>
              <w:right w:w="110" w:type="dxa"/>
            </w:tcMar>
            <w:vAlign w:val="center"/>
          </w:tcPr>
          <w:p w14:paraId="3EF12FE1" w14:textId="77777777" w:rsidR="00713291" w:rsidRDefault="00000000">
            <w:pPr>
              <w:spacing w:line="260" w:lineRule="auto"/>
            </w:pPr>
            <w:r>
              <w:rPr>
                <w:sz w:val="19"/>
                <w:szCs w:val="19"/>
              </w:rPr>
              <w:t>Grassroots / scientific discovery</w:t>
            </w:r>
          </w:p>
        </w:tc>
      </w:tr>
      <w:tr w:rsidR="00713291" w14:paraId="01022379" w14:textId="77777777">
        <w:tblPrEx>
          <w:tblCellMar>
            <w:top w:w="0" w:type="dxa"/>
            <w:bottom w:w="0" w:type="dxa"/>
          </w:tblCellMar>
        </w:tblPrEx>
        <w:tc>
          <w:tcPr>
            <w:tcW w:w="2700" w:type="dxa"/>
            <w:shd w:val="clear" w:color="auto" w:fill="FFFFFF"/>
            <w:tcMar>
              <w:top w:w="60" w:type="dxa"/>
              <w:left w:w="110" w:type="dxa"/>
              <w:bottom w:w="60" w:type="dxa"/>
              <w:right w:w="110" w:type="dxa"/>
            </w:tcMar>
            <w:vAlign w:val="center"/>
          </w:tcPr>
          <w:p w14:paraId="6EECC739" w14:textId="77777777" w:rsidR="00713291" w:rsidRDefault="00000000">
            <w:pPr>
              <w:spacing w:line="260" w:lineRule="auto"/>
            </w:pPr>
            <w:r>
              <w:rPr>
                <w:sz w:val="19"/>
                <w:szCs w:val="19"/>
              </w:rPr>
              <w:t>Mineral Resource</w:t>
            </w:r>
          </w:p>
        </w:tc>
        <w:tc>
          <w:tcPr>
            <w:tcW w:w="6660" w:type="dxa"/>
            <w:shd w:val="clear" w:color="auto" w:fill="FFFFFF"/>
            <w:tcMar>
              <w:top w:w="60" w:type="dxa"/>
              <w:left w:w="110" w:type="dxa"/>
              <w:bottom w:w="60" w:type="dxa"/>
              <w:right w:w="110" w:type="dxa"/>
            </w:tcMar>
            <w:vAlign w:val="center"/>
          </w:tcPr>
          <w:p w14:paraId="0CA3BFCF" w14:textId="77777777" w:rsidR="00713291" w:rsidRDefault="00000000">
            <w:pPr>
              <w:spacing w:line="260" w:lineRule="auto"/>
            </w:pPr>
            <w:r>
              <w:rPr>
                <w:sz w:val="19"/>
                <w:szCs w:val="19"/>
              </w:rPr>
              <w:t>None — not estimated; no drilling</w:t>
            </w:r>
          </w:p>
        </w:tc>
      </w:tr>
      <w:tr w:rsidR="00713291" w14:paraId="436E8E88" w14:textId="77777777">
        <w:tblPrEx>
          <w:tblCellMar>
            <w:top w:w="0" w:type="dxa"/>
            <w:bottom w:w="0" w:type="dxa"/>
          </w:tblCellMar>
        </w:tblPrEx>
        <w:tc>
          <w:tcPr>
            <w:tcW w:w="2700" w:type="dxa"/>
            <w:shd w:val="clear" w:color="auto" w:fill="EEF3F9"/>
            <w:tcMar>
              <w:top w:w="60" w:type="dxa"/>
              <w:left w:w="110" w:type="dxa"/>
              <w:bottom w:w="60" w:type="dxa"/>
              <w:right w:w="110" w:type="dxa"/>
            </w:tcMar>
            <w:vAlign w:val="center"/>
          </w:tcPr>
          <w:p w14:paraId="4A178012" w14:textId="77777777" w:rsidR="00713291" w:rsidRDefault="00000000">
            <w:pPr>
              <w:spacing w:line="260" w:lineRule="auto"/>
            </w:pPr>
            <w:r>
              <w:rPr>
                <w:sz w:val="19"/>
                <w:szCs w:val="19"/>
              </w:rPr>
              <w:t>Tenure</w:t>
            </w:r>
          </w:p>
        </w:tc>
        <w:tc>
          <w:tcPr>
            <w:tcW w:w="6660" w:type="dxa"/>
            <w:shd w:val="clear" w:color="auto" w:fill="EEF3F9"/>
            <w:tcMar>
              <w:top w:w="60" w:type="dxa"/>
              <w:left w:w="110" w:type="dxa"/>
              <w:bottom w:w="60" w:type="dxa"/>
              <w:right w:w="110" w:type="dxa"/>
            </w:tcMar>
            <w:vAlign w:val="center"/>
          </w:tcPr>
          <w:p w14:paraId="02990557" w14:textId="77777777" w:rsidR="00713291" w:rsidRDefault="00000000">
            <w:pPr>
              <w:spacing w:line="260" w:lineRule="auto"/>
            </w:pPr>
            <w:r>
              <w:rPr>
                <w:sz w:val="19"/>
                <w:szCs w:val="19"/>
              </w:rPr>
              <w:t>Not confirmed by Agricola — priority due-diligence item</w:t>
            </w:r>
          </w:p>
        </w:tc>
      </w:tr>
      <w:tr w:rsidR="00713291" w14:paraId="34E1C386" w14:textId="77777777">
        <w:tblPrEx>
          <w:tblCellMar>
            <w:top w:w="0" w:type="dxa"/>
            <w:bottom w:w="0" w:type="dxa"/>
          </w:tblCellMar>
        </w:tblPrEx>
        <w:tc>
          <w:tcPr>
            <w:tcW w:w="2700" w:type="dxa"/>
            <w:shd w:val="clear" w:color="auto" w:fill="FFFFFF"/>
            <w:tcMar>
              <w:top w:w="60" w:type="dxa"/>
              <w:left w:w="110" w:type="dxa"/>
              <w:bottom w:w="60" w:type="dxa"/>
              <w:right w:w="110" w:type="dxa"/>
            </w:tcMar>
            <w:vAlign w:val="center"/>
          </w:tcPr>
          <w:p w14:paraId="035ECC88" w14:textId="77777777" w:rsidR="00713291" w:rsidRDefault="00000000">
            <w:pPr>
              <w:spacing w:line="260" w:lineRule="auto"/>
            </w:pPr>
            <w:r>
              <w:rPr>
                <w:sz w:val="19"/>
                <w:szCs w:val="19"/>
              </w:rPr>
              <w:t>Recommended next step</w:t>
            </w:r>
          </w:p>
        </w:tc>
        <w:tc>
          <w:tcPr>
            <w:tcW w:w="6660" w:type="dxa"/>
            <w:shd w:val="clear" w:color="auto" w:fill="FFFFFF"/>
            <w:tcMar>
              <w:top w:w="60" w:type="dxa"/>
              <w:left w:w="110" w:type="dxa"/>
              <w:bottom w:w="60" w:type="dxa"/>
              <w:right w:w="110" w:type="dxa"/>
            </w:tcMar>
            <w:vAlign w:val="center"/>
          </w:tcPr>
          <w:p w14:paraId="66D92EB5" w14:textId="77777777" w:rsidR="00713291" w:rsidRDefault="00000000">
            <w:pPr>
              <w:spacing w:line="260" w:lineRule="auto"/>
            </w:pPr>
            <w:r>
              <w:rPr>
                <w:sz w:val="19"/>
                <w:szCs w:val="19"/>
              </w:rPr>
              <w:t>Tenure verification, then first-pass mapping, channel sampling and mineralogy</w:t>
            </w:r>
          </w:p>
        </w:tc>
      </w:tr>
    </w:tbl>
    <w:p w14:paraId="5416C97D" w14:textId="77777777" w:rsidR="00713291" w:rsidRDefault="00000000">
      <w:r>
        <w:br w:type="page"/>
      </w:r>
    </w:p>
    <w:p w14:paraId="093CAA23" w14:textId="77777777" w:rsidR="00713291" w:rsidRDefault="00000000">
      <w:pPr>
        <w:pStyle w:val="Heading1"/>
      </w:pPr>
      <w:r>
        <w:lastRenderedPageBreak/>
        <w:t>2. Introduction and Purpose</w:t>
      </w:r>
    </w:p>
    <w:p w14:paraId="7757BF80" w14:textId="77777777" w:rsidR="00713291" w:rsidRDefault="00000000">
      <w:pPr>
        <w:spacing w:after="140" w:line="276" w:lineRule="auto"/>
        <w:jc w:val="both"/>
      </w:pPr>
      <w:r>
        <w:t>Agricola Mining Consultants has been asked to prepare a concise, balanced technical overview of the “Attu Rare Earth” opportunity suitable for early discussion with prospective investors. The aim is to give a non-specialist reader an honest sense of what is genuinely attractive about Attu, what remains entirely unproven, and what work would be required to move it toward a position where a Mineral Resource could even be contemplated.</w:t>
      </w:r>
    </w:p>
    <w:p w14:paraId="7C5A99F1" w14:textId="77777777" w:rsidR="00713291" w:rsidRDefault="00000000">
      <w:pPr>
        <w:spacing w:after="140" w:line="276" w:lineRule="auto"/>
        <w:jc w:val="both"/>
      </w:pPr>
      <w:r>
        <w:t xml:space="preserve">One point requires clarification at the outset, because the popular and secondary literature tends to blur it. The name “Attu Rare Earth” is currently attached to </w:t>
      </w:r>
      <w:r>
        <w:rPr>
          <w:b/>
          <w:bCs/>
        </w:rPr>
        <w:t>two geologically distinct things</w:t>
      </w:r>
      <w:r>
        <w:t xml:space="preserve"> in the same district:</w:t>
      </w:r>
    </w:p>
    <w:p w14:paraId="3AD0A9EA" w14:textId="77777777" w:rsidR="00713291" w:rsidRDefault="00000000">
      <w:pPr>
        <w:pStyle w:val="ListParagraph"/>
        <w:numPr>
          <w:ilvl w:val="0"/>
          <w:numId w:val="2"/>
        </w:numPr>
        <w:spacing w:after="90" w:line="272" w:lineRule="auto"/>
      </w:pPr>
      <w:r>
        <w:rPr>
          <w:b/>
          <w:bCs/>
        </w:rPr>
        <w:t xml:space="preserve">The Attu carbonatite </w:t>
      </w:r>
      <w:r>
        <w:t xml:space="preserve">— a 2024 scientific discovery of a high-grade REE–Sr–Ba carbonatite dyke on </w:t>
      </w:r>
      <w:proofErr w:type="spellStart"/>
      <w:r>
        <w:t>Uperniviarsuk</w:t>
      </w:r>
      <w:proofErr w:type="spellEnd"/>
      <w:r>
        <w:t xml:space="preserve"> island. This is the genuinely novel and investment-relevant feature.</w:t>
      </w:r>
    </w:p>
    <w:p w14:paraId="7213371E" w14:textId="77777777" w:rsidR="00713291" w:rsidRDefault="00000000">
      <w:pPr>
        <w:pStyle w:val="ListParagraph"/>
        <w:numPr>
          <w:ilvl w:val="0"/>
          <w:numId w:val="2"/>
        </w:numPr>
        <w:spacing w:after="90" w:line="272" w:lineRule="auto"/>
      </w:pPr>
      <w:r>
        <w:rPr>
          <w:b/>
          <w:bCs/>
        </w:rPr>
        <w:t xml:space="preserve">The Attu pegmatite occurrence </w:t>
      </w:r>
      <w:r>
        <w:t>— a long-catalogued GEUS occurrence of allanite-bearing granitic pegmatites at the Attu locality, of much lower tenor and only “indication” significance.</w:t>
      </w:r>
    </w:p>
    <w:p w14:paraId="6636742E" w14:textId="77777777" w:rsidR="00713291" w:rsidRDefault="00000000">
      <w:pPr>
        <w:spacing w:after="140" w:line="276" w:lineRule="auto"/>
        <w:jc w:val="both"/>
      </w:pPr>
      <w:r>
        <w:t>These are different rock types, of different ages, formed by different processes, and they should be assessed separately. This overview treats the carbonatite as the primary subject and the pegmatites as a secondary, lower-priority consideration.</w:t>
      </w:r>
    </w:p>
    <w:p w14:paraId="5213F355" w14:textId="77777777" w:rsidR="00713291" w:rsidRDefault="00000000">
      <w:pPr>
        <w:pStyle w:val="Heading1"/>
      </w:pPr>
      <w:r>
        <w:t>3. Location, Access and Setting</w:t>
      </w:r>
    </w:p>
    <w:p w14:paraId="626AEFEC" w14:textId="77777777" w:rsidR="00713291" w:rsidRDefault="00000000">
      <w:pPr>
        <w:spacing w:after="140" w:line="276" w:lineRule="auto"/>
        <w:jc w:val="both"/>
      </w:pPr>
      <w:r>
        <w:t xml:space="preserve">Attu is a small settlement in the </w:t>
      </w:r>
      <w:proofErr w:type="spellStart"/>
      <w:r>
        <w:t>Kangaatsiaq</w:t>
      </w:r>
      <w:proofErr w:type="spellEnd"/>
      <w:r>
        <w:t xml:space="preserve"> region of central West Greenland, on the outer-fjord coast between the towns of Sisimiut to the south and </w:t>
      </w:r>
      <w:proofErr w:type="spellStart"/>
      <w:r>
        <w:t>Aasiaat</w:t>
      </w:r>
      <w:proofErr w:type="spellEnd"/>
      <w:r>
        <w:t xml:space="preserve"> to the north. The carbonatite dyke is reported at the southern end of </w:t>
      </w:r>
      <w:proofErr w:type="spellStart"/>
      <w:r>
        <w:t>Uperniviarsuk</w:t>
      </w:r>
      <w:proofErr w:type="spellEnd"/>
      <w:r>
        <w:t xml:space="preserve"> island, roughly 10 km north-east of Attu village. The pegmatite occurrence catalogued by GEUS lies at the Attu locality at approximately 67.885°N, 53.541°W.</w:t>
      </w: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29"/>
        <w:gridCol w:w="2665"/>
        <w:gridCol w:w="6637"/>
        <w:gridCol w:w="29"/>
      </w:tblGrid>
      <w:tr w:rsidR="00713291" w14:paraId="3F937177" w14:textId="77777777">
        <w:tblPrEx>
          <w:tblCellMar>
            <w:top w:w="0" w:type="dxa"/>
            <w:bottom w:w="0" w:type="dxa"/>
          </w:tblCellMar>
        </w:tblPrEx>
        <w:trPr>
          <w:gridAfter w:val="1"/>
          <w:wAfter w:w="29" w:type="dxa"/>
          <w:tblHeader/>
        </w:trPr>
        <w:tc>
          <w:tcPr>
            <w:tcW w:w="2700" w:type="dxa"/>
            <w:gridSpan w:val="2"/>
            <w:shd w:val="clear" w:color="auto" w:fill="1B3A5C"/>
            <w:tcMar>
              <w:top w:w="70" w:type="dxa"/>
              <w:left w:w="110" w:type="dxa"/>
              <w:bottom w:w="70" w:type="dxa"/>
              <w:right w:w="110" w:type="dxa"/>
            </w:tcMar>
            <w:vAlign w:val="center"/>
          </w:tcPr>
          <w:p w14:paraId="3B832E17" w14:textId="77777777" w:rsidR="00713291" w:rsidRDefault="00000000">
            <w:r>
              <w:rPr>
                <w:b/>
                <w:bCs/>
                <w:color w:val="FFFFFF"/>
                <w:sz w:val="19"/>
                <w:szCs w:val="19"/>
              </w:rPr>
              <w:t>Attribute</w:t>
            </w:r>
          </w:p>
        </w:tc>
        <w:tc>
          <w:tcPr>
            <w:tcW w:w="6660" w:type="dxa"/>
            <w:shd w:val="clear" w:color="auto" w:fill="1B3A5C"/>
            <w:tcMar>
              <w:top w:w="70" w:type="dxa"/>
              <w:left w:w="110" w:type="dxa"/>
              <w:bottom w:w="70" w:type="dxa"/>
              <w:right w:w="110" w:type="dxa"/>
            </w:tcMar>
            <w:vAlign w:val="center"/>
          </w:tcPr>
          <w:p w14:paraId="328BFDC6" w14:textId="77777777" w:rsidR="00713291" w:rsidRDefault="00000000">
            <w:r>
              <w:rPr>
                <w:b/>
                <w:bCs/>
                <w:color w:val="FFFFFF"/>
                <w:sz w:val="19"/>
                <w:szCs w:val="19"/>
              </w:rPr>
              <w:t>Detail</w:t>
            </w:r>
          </w:p>
        </w:tc>
      </w:tr>
      <w:tr w:rsidR="00713291" w14:paraId="41B294BF" w14:textId="77777777">
        <w:tblPrEx>
          <w:tblCellMar>
            <w:top w:w="0" w:type="dxa"/>
            <w:bottom w:w="0" w:type="dxa"/>
          </w:tblCellMar>
        </w:tblPrEx>
        <w:trPr>
          <w:gridAfter w:val="1"/>
          <w:wAfter w:w="29" w:type="dxa"/>
        </w:trPr>
        <w:tc>
          <w:tcPr>
            <w:tcW w:w="2700" w:type="dxa"/>
            <w:gridSpan w:val="2"/>
            <w:shd w:val="clear" w:color="auto" w:fill="FFFFFF"/>
            <w:tcMar>
              <w:top w:w="60" w:type="dxa"/>
              <w:left w:w="110" w:type="dxa"/>
              <w:bottom w:w="60" w:type="dxa"/>
              <w:right w:w="110" w:type="dxa"/>
            </w:tcMar>
            <w:vAlign w:val="center"/>
          </w:tcPr>
          <w:p w14:paraId="1674C896" w14:textId="77777777" w:rsidR="00713291" w:rsidRDefault="00000000">
            <w:pPr>
              <w:spacing w:line="260" w:lineRule="auto"/>
            </w:pPr>
            <w:r>
              <w:rPr>
                <w:sz w:val="19"/>
                <w:szCs w:val="19"/>
              </w:rPr>
              <w:t>Region</w:t>
            </w:r>
          </w:p>
        </w:tc>
        <w:tc>
          <w:tcPr>
            <w:tcW w:w="6660" w:type="dxa"/>
            <w:shd w:val="clear" w:color="auto" w:fill="FFFFFF"/>
            <w:tcMar>
              <w:top w:w="60" w:type="dxa"/>
              <w:left w:w="110" w:type="dxa"/>
              <w:bottom w:w="60" w:type="dxa"/>
              <w:right w:w="110" w:type="dxa"/>
            </w:tcMar>
            <w:vAlign w:val="center"/>
          </w:tcPr>
          <w:p w14:paraId="193FDA9E" w14:textId="77777777" w:rsidR="00713291" w:rsidRDefault="00000000">
            <w:pPr>
              <w:spacing w:line="260" w:lineRule="auto"/>
            </w:pPr>
            <w:proofErr w:type="spellStart"/>
            <w:r>
              <w:rPr>
                <w:sz w:val="19"/>
                <w:szCs w:val="19"/>
              </w:rPr>
              <w:t>Kangaatsiaq</w:t>
            </w:r>
            <w:proofErr w:type="spellEnd"/>
            <w:r>
              <w:rPr>
                <w:sz w:val="19"/>
                <w:szCs w:val="19"/>
              </w:rPr>
              <w:t xml:space="preserve">, central West Greenland (Avannaata / </w:t>
            </w:r>
            <w:proofErr w:type="spellStart"/>
            <w:r>
              <w:rPr>
                <w:sz w:val="19"/>
                <w:szCs w:val="19"/>
              </w:rPr>
              <w:t>Qeqertalik</w:t>
            </w:r>
            <w:proofErr w:type="spellEnd"/>
            <w:r>
              <w:rPr>
                <w:sz w:val="19"/>
                <w:szCs w:val="19"/>
              </w:rPr>
              <w:t xml:space="preserve"> municipal area)</w:t>
            </w:r>
          </w:p>
        </w:tc>
      </w:tr>
      <w:tr w:rsidR="00713291" w14:paraId="027CEF0C" w14:textId="77777777">
        <w:tblPrEx>
          <w:tblCellMar>
            <w:top w:w="0" w:type="dxa"/>
            <w:bottom w:w="0" w:type="dxa"/>
          </w:tblCellMar>
        </w:tblPrEx>
        <w:trPr>
          <w:gridAfter w:val="1"/>
          <w:wAfter w:w="29" w:type="dxa"/>
        </w:trPr>
        <w:tc>
          <w:tcPr>
            <w:tcW w:w="2700" w:type="dxa"/>
            <w:gridSpan w:val="2"/>
            <w:shd w:val="clear" w:color="auto" w:fill="EEF3F9"/>
            <w:tcMar>
              <w:top w:w="60" w:type="dxa"/>
              <w:left w:w="110" w:type="dxa"/>
              <w:bottom w:w="60" w:type="dxa"/>
              <w:right w:w="110" w:type="dxa"/>
            </w:tcMar>
            <w:vAlign w:val="center"/>
          </w:tcPr>
          <w:p w14:paraId="7B0149CF" w14:textId="77777777" w:rsidR="00713291" w:rsidRDefault="00000000">
            <w:pPr>
              <w:spacing w:line="260" w:lineRule="auto"/>
            </w:pPr>
            <w:r>
              <w:rPr>
                <w:sz w:val="19"/>
                <w:szCs w:val="19"/>
              </w:rPr>
              <w:t>Nearest settlements</w:t>
            </w:r>
          </w:p>
        </w:tc>
        <w:tc>
          <w:tcPr>
            <w:tcW w:w="6660" w:type="dxa"/>
            <w:shd w:val="clear" w:color="auto" w:fill="EEF3F9"/>
            <w:tcMar>
              <w:top w:w="60" w:type="dxa"/>
              <w:left w:w="110" w:type="dxa"/>
              <w:bottom w:w="60" w:type="dxa"/>
              <w:right w:w="110" w:type="dxa"/>
            </w:tcMar>
            <w:vAlign w:val="center"/>
          </w:tcPr>
          <w:p w14:paraId="7B799603" w14:textId="77777777" w:rsidR="00713291" w:rsidRDefault="00000000">
            <w:pPr>
              <w:spacing w:line="260" w:lineRule="auto"/>
            </w:pPr>
            <w:r>
              <w:rPr>
                <w:sz w:val="19"/>
                <w:szCs w:val="19"/>
              </w:rPr>
              <w:t xml:space="preserve">Attu village; Sisimiut (S) and </w:t>
            </w:r>
            <w:proofErr w:type="spellStart"/>
            <w:r>
              <w:rPr>
                <w:sz w:val="19"/>
                <w:szCs w:val="19"/>
              </w:rPr>
              <w:t>Aasiaat</w:t>
            </w:r>
            <w:proofErr w:type="spellEnd"/>
            <w:r>
              <w:rPr>
                <w:sz w:val="19"/>
                <w:szCs w:val="19"/>
              </w:rPr>
              <w:t xml:space="preserve"> (N)</w:t>
            </w:r>
          </w:p>
        </w:tc>
      </w:tr>
      <w:tr w:rsidR="00713291" w14:paraId="6F46A4E0" w14:textId="77777777">
        <w:tblPrEx>
          <w:tblCellMar>
            <w:top w:w="0" w:type="dxa"/>
            <w:bottom w:w="0" w:type="dxa"/>
          </w:tblCellMar>
        </w:tblPrEx>
        <w:trPr>
          <w:gridAfter w:val="1"/>
          <w:wAfter w:w="29" w:type="dxa"/>
        </w:trPr>
        <w:tc>
          <w:tcPr>
            <w:tcW w:w="2700" w:type="dxa"/>
            <w:gridSpan w:val="2"/>
            <w:shd w:val="clear" w:color="auto" w:fill="FFFFFF"/>
            <w:tcMar>
              <w:top w:w="60" w:type="dxa"/>
              <w:left w:w="110" w:type="dxa"/>
              <w:bottom w:w="60" w:type="dxa"/>
              <w:right w:w="110" w:type="dxa"/>
            </w:tcMar>
            <w:vAlign w:val="center"/>
          </w:tcPr>
          <w:p w14:paraId="0DEB5FE0" w14:textId="77777777" w:rsidR="00713291" w:rsidRDefault="00000000">
            <w:pPr>
              <w:spacing w:line="260" w:lineRule="auto"/>
            </w:pPr>
            <w:r>
              <w:rPr>
                <w:sz w:val="19"/>
                <w:szCs w:val="19"/>
              </w:rPr>
              <w:t>Carbonatite location</w:t>
            </w:r>
          </w:p>
        </w:tc>
        <w:tc>
          <w:tcPr>
            <w:tcW w:w="6660" w:type="dxa"/>
            <w:shd w:val="clear" w:color="auto" w:fill="FFFFFF"/>
            <w:tcMar>
              <w:top w:w="60" w:type="dxa"/>
              <w:left w:w="110" w:type="dxa"/>
              <w:bottom w:w="60" w:type="dxa"/>
              <w:right w:w="110" w:type="dxa"/>
            </w:tcMar>
            <w:vAlign w:val="center"/>
          </w:tcPr>
          <w:p w14:paraId="19C9D6EB" w14:textId="77777777" w:rsidR="00713291" w:rsidRDefault="00000000">
            <w:pPr>
              <w:spacing w:line="260" w:lineRule="auto"/>
            </w:pPr>
            <w:r>
              <w:rPr>
                <w:sz w:val="19"/>
                <w:szCs w:val="19"/>
              </w:rPr>
              <w:t xml:space="preserve">Southern </w:t>
            </w:r>
            <w:proofErr w:type="spellStart"/>
            <w:r>
              <w:rPr>
                <w:sz w:val="19"/>
                <w:szCs w:val="19"/>
              </w:rPr>
              <w:t>Uperniviarsuk</w:t>
            </w:r>
            <w:proofErr w:type="spellEnd"/>
            <w:r>
              <w:rPr>
                <w:sz w:val="19"/>
                <w:szCs w:val="19"/>
              </w:rPr>
              <w:t xml:space="preserve"> island, ~10 km NE of Attu</w:t>
            </w:r>
          </w:p>
        </w:tc>
      </w:tr>
      <w:tr w:rsidR="00713291" w14:paraId="5E8954F6" w14:textId="77777777">
        <w:tblPrEx>
          <w:tblCellMar>
            <w:top w:w="0" w:type="dxa"/>
            <w:bottom w:w="0" w:type="dxa"/>
          </w:tblCellMar>
        </w:tblPrEx>
        <w:trPr>
          <w:gridAfter w:val="1"/>
          <w:wAfter w:w="29" w:type="dxa"/>
        </w:trPr>
        <w:tc>
          <w:tcPr>
            <w:tcW w:w="2700" w:type="dxa"/>
            <w:gridSpan w:val="2"/>
            <w:shd w:val="clear" w:color="auto" w:fill="EEF3F9"/>
            <w:tcMar>
              <w:top w:w="60" w:type="dxa"/>
              <w:left w:w="110" w:type="dxa"/>
              <w:bottom w:w="60" w:type="dxa"/>
              <w:right w:w="110" w:type="dxa"/>
            </w:tcMar>
            <w:vAlign w:val="center"/>
          </w:tcPr>
          <w:p w14:paraId="0430055D" w14:textId="77777777" w:rsidR="00713291" w:rsidRDefault="00000000">
            <w:pPr>
              <w:spacing w:line="260" w:lineRule="auto"/>
            </w:pPr>
            <w:r>
              <w:rPr>
                <w:sz w:val="19"/>
                <w:szCs w:val="19"/>
              </w:rPr>
              <w:t>Access</w:t>
            </w:r>
          </w:p>
        </w:tc>
        <w:tc>
          <w:tcPr>
            <w:tcW w:w="6660" w:type="dxa"/>
            <w:shd w:val="clear" w:color="auto" w:fill="EEF3F9"/>
            <w:tcMar>
              <w:top w:w="60" w:type="dxa"/>
              <w:left w:w="110" w:type="dxa"/>
              <w:bottom w:w="60" w:type="dxa"/>
              <w:right w:w="110" w:type="dxa"/>
            </w:tcMar>
            <w:vAlign w:val="center"/>
          </w:tcPr>
          <w:p w14:paraId="414A681F" w14:textId="77777777" w:rsidR="00713291" w:rsidRDefault="00000000">
            <w:pPr>
              <w:spacing w:line="260" w:lineRule="auto"/>
            </w:pPr>
            <w:r>
              <w:rPr>
                <w:sz w:val="19"/>
                <w:szCs w:val="19"/>
              </w:rPr>
              <w:t>Coastal / island setting — boat and helicopter; no roads, no port, no power</w:t>
            </w:r>
          </w:p>
        </w:tc>
      </w:tr>
      <w:tr w:rsidR="00713291" w14:paraId="22FBE49F" w14:textId="77777777">
        <w:tblPrEx>
          <w:tblCellMar>
            <w:top w:w="0" w:type="dxa"/>
            <w:bottom w:w="0" w:type="dxa"/>
          </w:tblCellMar>
        </w:tblPrEx>
        <w:trPr>
          <w:gridAfter w:val="1"/>
          <w:wAfter w:w="29" w:type="dxa"/>
        </w:trPr>
        <w:tc>
          <w:tcPr>
            <w:tcW w:w="2700" w:type="dxa"/>
            <w:gridSpan w:val="2"/>
            <w:shd w:val="clear" w:color="auto" w:fill="FFFFFF"/>
            <w:tcMar>
              <w:top w:w="60" w:type="dxa"/>
              <w:left w:w="110" w:type="dxa"/>
              <w:bottom w:w="60" w:type="dxa"/>
              <w:right w:w="110" w:type="dxa"/>
            </w:tcMar>
            <w:vAlign w:val="center"/>
          </w:tcPr>
          <w:p w14:paraId="558D4A31" w14:textId="77777777" w:rsidR="00713291" w:rsidRDefault="00000000">
            <w:pPr>
              <w:spacing w:line="260" w:lineRule="auto"/>
            </w:pPr>
            <w:r>
              <w:rPr>
                <w:sz w:val="19"/>
                <w:szCs w:val="19"/>
              </w:rPr>
              <w:t>Climate / operating window</w:t>
            </w:r>
          </w:p>
        </w:tc>
        <w:tc>
          <w:tcPr>
            <w:tcW w:w="6660" w:type="dxa"/>
            <w:shd w:val="clear" w:color="auto" w:fill="FFFFFF"/>
            <w:tcMar>
              <w:top w:w="60" w:type="dxa"/>
              <w:left w:w="110" w:type="dxa"/>
              <w:bottom w:w="60" w:type="dxa"/>
              <w:right w:w="110" w:type="dxa"/>
            </w:tcMar>
            <w:vAlign w:val="center"/>
          </w:tcPr>
          <w:p w14:paraId="28641810" w14:textId="77777777" w:rsidR="00713291" w:rsidRDefault="00000000">
            <w:pPr>
              <w:spacing w:line="260" w:lineRule="auto"/>
            </w:pPr>
            <w:r>
              <w:rPr>
                <w:sz w:val="19"/>
                <w:szCs w:val="19"/>
              </w:rPr>
              <w:t>Arctic maritime; short ice-free field season</w:t>
            </w:r>
          </w:p>
        </w:tc>
      </w:tr>
      <w:tr w:rsidR="00713291" w14:paraId="0B80F65D" w14:textId="77777777">
        <w:tblPrEx>
          <w:tblCellMar>
            <w:top w:w="0" w:type="dxa"/>
            <w:bottom w:w="0" w:type="dxa"/>
          </w:tblCellMar>
        </w:tblPrEx>
        <w:trPr>
          <w:gridAfter w:val="1"/>
          <w:wAfter w:w="29" w:type="dxa"/>
        </w:trPr>
        <w:tc>
          <w:tcPr>
            <w:tcW w:w="2700" w:type="dxa"/>
            <w:gridSpan w:val="2"/>
            <w:shd w:val="clear" w:color="auto" w:fill="EEF3F9"/>
            <w:tcMar>
              <w:top w:w="60" w:type="dxa"/>
              <w:left w:w="110" w:type="dxa"/>
              <w:bottom w:w="60" w:type="dxa"/>
              <w:right w:w="110" w:type="dxa"/>
            </w:tcMar>
            <w:vAlign w:val="center"/>
          </w:tcPr>
          <w:p w14:paraId="347E7431" w14:textId="77777777" w:rsidR="00713291" w:rsidRDefault="00000000">
            <w:pPr>
              <w:spacing w:line="260" w:lineRule="auto"/>
            </w:pPr>
            <w:r>
              <w:rPr>
                <w:sz w:val="19"/>
                <w:szCs w:val="19"/>
              </w:rPr>
              <w:t>Terrain</w:t>
            </w:r>
          </w:p>
        </w:tc>
        <w:tc>
          <w:tcPr>
            <w:tcW w:w="6660" w:type="dxa"/>
            <w:shd w:val="clear" w:color="auto" w:fill="EEF3F9"/>
            <w:tcMar>
              <w:top w:w="60" w:type="dxa"/>
              <w:left w:w="110" w:type="dxa"/>
              <w:bottom w:w="60" w:type="dxa"/>
              <w:right w:w="110" w:type="dxa"/>
            </w:tcMar>
            <w:vAlign w:val="center"/>
          </w:tcPr>
          <w:p w14:paraId="723C39C4" w14:textId="77777777" w:rsidR="00713291" w:rsidRDefault="00000000">
            <w:pPr>
              <w:spacing w:line="260" w:lineRule="auto"/>
            </w:pPr>
            <w:r>
              <w:rPr>
                <w:sz w:val="19"/>
                <w:szCs w:val="19"/>
              </w:rPr>
              <w:t>Glacially scoured coastal gneiss terrain with good outcrop</w:t>
            </w:r>
          </w:p>
        </w:tc>
      </w:tr>
      <w:tr w:rsidR="00713291" w14:paraId="6ED24052" w14:textId="77777777">
        <w:tblPrEx>
          <w:tblBorders>
            <w:top w:val="single" w:sz="2" w:space="0" w:color="2E75B6"/>
            <w:left w:val="single" w:sz="24" w:space="0" w:color="2E75B6"/>
            <w:bottom w:val="single" w:sz="2" w:space="0" w:color="2E75B6"/>
            <w:right w:val="single" w:sz="2" w:space="0" w:color="2E75B6"/>
            <w:insideH w:val="single" w:sz="4" w:space="0" w:color="auto"/>
            <w:insideV w:val="single" w:sz="4" w:space="0" w:color="auto"/>
          </w:tblBorders>
          <w:tblCellMar>
            <w:top w:w="0" w:type="dxa"/>
            <w:bottom w:w="0" w:type="dxa"/>
          </w:tblCellMar>
        </w:tblPrEx>
        <w:trPr>
          <w:gridBefore w:val="1"/>
          <w:wBefore w:w="29" w:type="dxa"/>
        </w:trPr>
        <w:tc>
          <w:tcPr>
            <w:tcW w:w="9360" w:type="dxa"/>
            <w:gridSpan w:val="3"/>
            <w:shd w:val="clear" w:color="auto" w:fill="E8F0F9"/>
            <w:tcMar>
              <w:top w:w="140" w:type="dxa"/>
              <w:left w:w="200" w:type="dxa"/>
              <w:bottom w:w="140" w:type="dxa"/>
              <w:right w:w="160" w:type="dxa"/>
            </w:tcMar>
          </w:tcPr>
          <w:p w14:paraId="6D77FF4F" w14:textId="77777777" w:rsidR="00713291" w:rsidRDefault="00000000">
            <w:pPr>
              <w:spacing w:after="80"/>
            </w:pPr>
            <w:r>
              <w:rPr>
                <w:b/>
                <w:bCs/>
                <w:color w:val="2E75B6"/>
                <w:sz w:val="22"/>
                <w:szCs w:val="22"/>
              </w:rPr>
              <w:t>Infrastructure reality check</w:t>
            </w:r>
          </w:p>
          <w:p w14:paraId="2F8A7C60" w14:textId="77777777" w:rsidR="00713291" w:rsidRDefault="00000000">
            <w:pPr>
              <w:spacing w:line="268" w:lineRule="auto"/>
              <w:jc w:val="both"/>
            </w:pPr>
            <w:r>
              <w:t xml:space="preserve">Like most Greenland prospects, Attu has </w:t>
            </w:r>
            <w:r>
              <w:rPr>
                <w:b/>
                <w:bCs/>
              </w:rPr>
              <w:t>no road, rail, port, grid power or fixed accommodation</w:t>
            </w:r>
            <w:r>
              <w:t>. Outcrop exposure is excellent and works in explorers’ favour, but every kilogram of equipment and sample moves by boat or helicopter within a short summer window. Logistics, not geology, is usually the binding constraint on early Greenland programmes and the dominant early cost driver.</w:t>
            </w:r>
          </w:p>
        </w:tc>
      </w:tr>
    </w:tbl>
    <w:p w14:paraId="52F51CD8" w14:textId="77777777" w:rsidR="009A05A0" w:rsidRDefault="009A05A0" w:rsidP="009A05A0"/>
    <w:p w14:paraId="12FA74A4" w14:textId="7BB7BDB1" w:rsidR="00713291" w:rsidRDefault="00000000">
      <w:pPr>
        <w:pStyle w:val="Heading1"/>
      </w:pPr>
      <w:r>
        <w:lastRenderedPageBreak/>
        <w:t>4. Regional and Deposit Geology</w:t>
      </w:r>
    </w:p>
    <w:p w14:paraId="2D596BCE" w14:textId="77777777" w:rsidR="00713291" w:rsidRDefault="00000000">
      <w:pPr>
        <w:pStyle w:val="Heading2"/>
      </w:pPr>
      <w:r>
        <w:t>4.1 Regional framework</w:t>
      </w:r>
    </w:p>
    <w:p w14:paraId="5A898877" w14:textId="77777777" w:rsidR="00713291" w:rsidRDefault="00000000">
      <w:pPr>
        <w:spacing w:after="140" w:line="276" w:lineRule="auto"/>
        <w:jc w:val="both"/>
      </w:pPr>
      <w:r>
        <w:t xml:space="preserve">The district lies within the </w:t>
      </w:r>
      <w:proofErr w:type="spellStart"/>
      <w:r>
        <w:rPr>
          <w:b/>
          <w:bCs/>
        </w:rPr>
        <w:t>Nagssugtoqidian</w:t>
      </w:r>
      <w:proofErr w:type="spellEnd"/>
      <w:r>
        <w:rPr>
          <w:b/>
          <w:bCs/>
        </w:rPr>
        <w:t xml:space="preserve"> orogen</w:t>
      </w:r>
      <w:r>
        <w:t>, a Palaeoproterozoic belt of central West Greenland built largely on reworked Archaean crust, with supracrustal sequences and the remnants of two magmatic arcs. The belt records major crustal accretion and collision in the period around 1.85 billion years ago. Both Archaean and Palaeoproterozoic pegmatites are widespread through the gneisses, and it is within this framework that both Attu mineralisation styles occur — although, importantly, the carbonatite is considerably younger than the orogen itself.</w:t>
      </w:r>
    </w:p>
    <w:p w14:paraId="694513C5" w14:textId="77777777" w:rsidR="00713291" w:rsidRDefault="00000000">
      <w:pPr>
        <w:pStyle w:val="Heading2"/>
      </w:pPr>
      <w:r>
        <w:t>4.2 The Attu carbonatite (primary subject)</w:t>
      </w:r>
    </w:p>
    <w:p w14:paraId="1A1464E7" w14:textId="77777777" w:rsidR="00713291" w:rsidRDefault="00000000">
      <w:pPr>
        <w:spacing w:after="140" w:line="276" w:lineRule="auto"/>
        <w:jc w:val="both"/>
      </w:pPr>
      <w:r>
        <w:t>Carbonatites are rare, mantle-derived igneous rocks composed dominantly of carbonate minerals. They are volumetrically trivial but economically outsized: they host the world’s most important REE and niobium deposits, including Bayan Obo (China), Mountain Pass (USA), Mt Weld (Australia) and Araxá (Brazil). A genuine, high-grade carbonatite discovery is therefore always worth serious attention.</w:t>
      </w:r>
    </w:p>
    <w:p w14:paraId="1B6FC0D2" w14:textId="77777777" w:rsidR="00713291" w:rsidRDefault="00000000">
      <w:pPr>
        <w:spacing w:after="140" w:line="276" w:lineRule="auto"/>
        <w:jc w:val="both"/>
      </w:pPr>
      <w:r>
        <w:t xml:space="preserve">The Attu carbonatite was dated by U–Pb on monazite at approximately 1.5 Ga (Mesoproterozoic), making it a distinct, post-orogenic intrusive event. The most distinctive and potentially valuable characteristic reported by Knudsen et al. (2024) is that the REE, Sr and Ba reside in </w:t>
      </w:r>
      <w:r>
        <w:rPr>
          <w:b/>
          <w:bCs/>
        </w:rPr>
        <w:t>primary magmatic carbonate and phosphate minerals</w:t>
      </w:r>
      <w:r>
        <w:t xml:space="preserve"> — the rock did not require weathering or secondary alteration to upgrade it. This contrasts with many of the world’s carbonatite REE deposits, which depend on a supergene weathering blanket to reach ore grade.</w:t>
      </w:r>
    </w:p>
    <w:tbl>
      <w:tblPr>
        <w:tblW w:w="9360" w:type="dxa"/>
        <w:tblBorders>
          <w:top w:val="single" w:sz="2" w:space="0" w:color="2D6A4F"/>
          <w:left w:val="single" w:sz="2" w:space="0" w:color="2D6A4F"/>
          <w:bottom w:val="single" w:sz="2" w:space="0" w:color="2D6A4F"/>
          <w:right w:val="single" w:sz="2" w:space="0" w:color="2D6A4F"/>
          <w:insideH w:val="single" w:sz="4" w:space="0" w:color="auto"/>
          <w:insideV w:val="single" w:sz="4" w:space="0" w:color="auto"/>
        </w:tblBorders>
        <w:shd w:val="clear" w:color="auto" w:fill="D9F2D0" w:themeFill="accent6" w:themeFillTint="33"/>
        <w:tblCellMar>
          <w:left w:w="10" w:type="dxa"/>
          <w:right w:w="10" w:type="dxa"/>
        </w:tblCellMar>
        <w:tblLook w:val="04A0" w:firstRow="1" w:lastRow="0" w:firstColumn="1" w:lastColumn="0" w:noHBand="0" w:noVBand="1"/>
      </w:tblPr>
      <w:tblGrid>
        <w:gridCol w:w="9360"/>
      </w:tblGrid>
      <w:tr w:rsidR="00713291" w:rsidRPr="009A05A0" w14:paraId="4319E235" w14:textId="77777777" w:rsidTr="009A05A0">
        <w:tblPrEx>
          <w:tblCellMar>
            <w:top w:w="0" w:type="dxa"/>
            <w:bottom w:w="0" w:type="dxa"/>
          </w:tblCellMar>
        </w:tblPrEx>
        <w:tc>
          <w:tcPr>
            <w:tcW w:w="9360" w:type="dxa"/>
            <w:shd w:val="clear" w:color="auto" w:fill="D9F2D0" w:themeFill="accent6" w:themeFillTint="33"/>
            <w:tcMar>
              <w:top w:w="160" w:type="dxa"/>
              <w:left w:w="200" w:type="dxa"/>
              <w:bottom w:w="160" w:type="dxa"/>
              <w:right w:w="200" w:type="dxa"/>
            </w:tcMar>
          </w:tcPr>
          <w:p w14:paraId="2944F608" w14:textId="77777777" w:rsidR="00713291" w:rsidRPr="009A05A0" w:rsidRDefault="00000000">
            <w:pPr>
              <w:spacing w:after="80"/>
              <w:rPr>
                <w:color w:val="000000" w:themeColor="text1"/>
              </w:rPr>
            </w:pPr>
            <w:r w:rsidRPr="009A05A0">
              <w:rPr>
                <w:b/>
                <w:bCs/>
                <w:color w:val="000000" w:themeColor="text1"/>
                <w:sz w:val="22"/>
                <w:szCs w:val="22"/>
              </w:rPr>
              <w:t>QP Opinion 1</w:t>
            </w:r>
          </w:p>
          <w:p w14:paraId="559F5E28" w14:textId="77777777" w:rsidR="00713291" w:rsidRPr="009A05A0" w:rsidRDefault="00000000">
            <w:pPr>
              <w:spacing w:line="268" w:lineRule="auto"/>
              <w:jc w:val="both"/>
              <w:rPr>
                <w:color w:val="000000" w:themeColor="text1"/>
              </w:rPr>
            </w:pPr>
            <w:r w:rsidRPr="009A05A0">
              <w:rPr>
                <w:color w:val="000000" w:themeColor="text1"/>
              </w:rPr>
              <w:t>The combination of a primary-mineral REE budget with very high reported tenor is the single most interesting feature of Attu. If — and it remains an “if” — the high grades reported in individual samples prove to characterise a mineable volume, a deposit that does not rely on a weathering blanket has potentially simpler, more predictable mineralogy than weathered analogues. That is a hypothesis to be tested by fieldwork and metallurgy, not a conclusion.</w:t>
            </w:r>
          </w:p>
          <w:p w14:paraId="5DEC08C9" w14:textId="77777777" w:rsidR="00713291" w:rsidRPr="009A05A0" w:rsidRDefault="00000000">
            <w:pPr>
              <w:spacing w:before="100"/>
              <w:rPr>
                <w:color w:val="000000" w:themeColor="text1"/>
              </w:rPr>
            </w:pPr>
            <w:r w:rsidRPr="009A05A0">
              <w:rPr>
                <w:i/>
                <w:iCs/>
                <w:color w:val="000000" w:themeColor="text1"/>
                <w:sz w:val="18"/>
                <w:szCs w:val="18"/>
              </w:rPr>
              <w:t>Malcolm Castle, MAusIMM (CP Geo) — Qualified Person, Agricola Mining Consultants Pty Ltd</w:t>
            </w:r>
          </w:p>
        </w:tc>
      </w:tr>
    </w:tbl>
    <w:p w14:paraId="5307E744" w14:textId="77777777" w:rsidR="00713291" w:rsidRDefault="00000000">
      <w:pPr>
        <w:pStyle w:val="Heading2"/>
      </w:pPr>
      <w:r>
        <w:t>4.3 The Attu pegmatites (secondary occurrence)</w:t>
      </w:r>
    </w:p>
    <w:p w14:paraId="713FF7A3" w14:textId="77777777" w:rsidR="00713291" w:rsidRDefault="00000000">
      <w:pPr>
        <w:spacing w:after="140" w:line="276" w:lineRule="auto"/>
        <w:jc w:val="both"/>
      </w:pPr>
      <w:r>
        <w:t xml:space="preserve">At the Attu locality, GEUS catalogues allanite-bearing granitic (K-feldspar) pegmatites hosted in gneiss and amphibolite. These pegmatites range from decimetre-scale up to about 5 m in thickness, with strike lengths of several hundred metres, and carry the REE chiefly in </w:t>
      </w:r>
      <w:r>
        <w:rPr>
          <w:b/>
          <w:bCs/>
        </w:rPr>
        <w:t>allanite</w:t>
      </w:r>
      <w:r>
        <w:t xml:space="preserve">, together with titanite (sphene), apatite, magnetite and iron sulphides. The mineralisation is dated at about 1,785 ± 7 Ma (Palaeoproterozoic) — markedly older than the carbonatite. GEUS rates the economic significance of this occurrence as an </w:t>
      </w:r>
      <w:r>
        <w:rPr>
          <w:b/>
          <w:bCs/>
        </w:rPr>
        <w:t>“indication”</w:t>
      </w:r>
      <w:r>
        <w:t xml:space="preserve"> only, and records that no exploration has been undertaken on the pegmatites.</w:t>
      </w:r>
    </w:p>
    <w:tbl>
      <w:tblPr>
        <w:tblW w:w="9360" w:type="dxa"/>
        <w:tblBorders>
          <w:top w:val="single" w:sz="2" w:space="0" w:color="2E75B6"/>
          <w:left w:val="single" w:sz="24" w:space="0" w:color="2E75B6"/>
          <w:bottom w:val="single" w:sz="2" w:space="0" w:color="2E75B6"/>
          <w:right w:val="single" w:sz="2" w:space="0" w:color="2E75B6"/>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13291" w14:paraId="462B64FE" w14:textId="77777777">
        <w:tblPrEx>
          <w:tblCellMar>
            <w:top w:w="0" w:type="dxa"/>
            <w:bottom w:w="0" w:type="dxa"/>
          </w:tblCellMar>
        </w:tblPrEx>
        <w:tc>
          <w:tcPr>
            <w:tcW w:w="9360" w:type="dxa"/>
            <w:shd w:val="clear" w:color="auto" w:fill="E8F0F9"/>
            <w:tcMar>
              <w:top w:w="140" w:type="dxa"/>
              <w:left w:w="200" w:type="dxa"/>
              <w:bottom w:w="140" w:type="dxa"/>
              <w:right w:w="160" w:type="dxa"/>
            </w:tcMar>
          </w:tcPr>
          <w:p w14:paraId="3E0C238C" w14:textId="77777777" w:rsidR="00713291" w:rsidRDefault="00000000">
            <w:pPr>
              <w:spacing w:after="80"/>
            </w:pPr>
            <w:r>
              <w:rPr>
                <w:b/>
                <w:bCs/>
                <w:color w:val="2E75B6"/>
                <w:sz w:val="22"/>
                <w:szCs w:val="22"/>
              </w:rPr>
              <w:t>Why allanite matters less here</w:t>
            </w:r>
          </w:p>
          <w:p w14:paraId="72BC8AF2" w14:textId="77777777" w:rsidR="00713291" w:rsidRDefault="00000000">
            <w:pPr>
              <w:spacing w:line="268" w:lineRule="auto"/>
              <w:jc w:val="both"/>
            </w:pPr>
            <w:r>
              <w:t xml:space="preserve">Allanite is a REE-bearing silicate that is generally harder to process than the carbonate and phosphate hosts (monazite, bastnäsite, </w:t>
            </w:r>
            <w:proofErr w:type="spellStart"/>
            <w:r>
              <w:t>daqingshanite</w:t>
            </w:r>
            <w:proofErr w:type="spellEnd"/>
            <w:r>
              <w:t xml:space="preserve">) found in carbonatites. Combined with the </w:t>
            </w:r>
            <w:r>
              <w:lastRenderedPageBreak/>
              <w:t>modest scale and the “indication-only” classification, the pegmatites are best treated as a low-priority secondary target rather than the basis of an investment case.</w:t>
            </w:r>
          </w:p>
        </w:tc>
      </w:tr>
    </w:tbl>
    <w:p w14:paraId="09CE4084" w14:textId="77777777" w:rsidR="00713291" w:rsidRDefault="00000000">
      <w:pPr>
        <w:pStyle w:val="Heading1"/>
      </w:pPr>
      <w:r>
        <w:lastRenderedPageBreak/>
        <w:t>5. Mineralisation, Grade and Mineralogy</w:t>
      </w:r>
    </w:p>
    <w:p w14:paraId="488DAC12" w14:textId="77777777" w:rsidR="00713291" w:rsidRDefault="00000000">
      <w:pPr>
        <w:pStyle w:val="Heading2"/>
      </w:pPr>
      <w:r>
        <w:t>5.1 Reported grades — and how to read them</w:t>
      </w:r>
    </w:p>
    <w:p w14:paraId="7E0EF724" w14:textId="77777777" w:rsidR="00713291" w:rsidRDefault="00000000">
      <w:pPr>
        <w:spacing w:after="140" w:line="276" w:lineRule="auto"/>
        <w:jc w:val="both"/>
      </w:pPr>
      <w:r>
        <w:t xml:space="preserve">The headline numbers from the carbonatite are striking. They are also, without exception, </w:t>
      </w:r>
      <w:r>
        <w:rPr>
          <w:b/>
          <w:bCs/>
        </w:rPr>
        <w:t>best individual rock-sample values</w:t>
      </w:r>
      <w:r>
        <w:t xml:space="preserve"> from an academic study. They tell us the rock can be extraordinarily rich at the specimen scale; they tell us nothing about the average grade of any tonnage, because no tonnage has been sampled in a representative way.</w:t>
      </w: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29"/>
        <w:gridCol w:w="2464"/>
        <w:gridCol w:w="2395"/>
        <w:gridCol w:w="4443"/>
        <w:gridCol w:w="29"/>
      </w:tblGrid>
      <w:tr w:rsidR="00713291" w14:paraId="7717AE04" w14:textId="77777777">
        <w:tblPrEx>
          <w:tblCellMar>
            <w:top w:w="0" w:type="dxa"/>
            <w:bottom w:w="0" w:type="dxa"/>
          </w:tblCellMar>
        </w:tblPrEx>
        <w:trPr>
          <w:gridAfter w:val="1"/>
          <w:wAfter w:w="29" w:type="dxa"/>
          <w:tblHeader/>
        </w:trPr>
        <w:tc>
          <w:tcPr>
            <w:tcW w:w="2500" w:type="dxa"/>
            <w:gridSpan w:val="2"/>
            <w:shd w:val="clear" w:color="auto" w:fill="1B3A5C"/>
            <w:tcMar>
              <w:top w:w="70" w:type="dxa"/>
              <w:left w:w="110" w:type="dxa"/>
              <w:bottom w:w="70" w:type="dxa"/>
              <w:right w:w="110" w:type="dxa"/>
            </w:tcMar>
            <w:vAlign w:val="center"/>
          </w:tcPr>
          <w:p w14:paraId="1F2C20A8" w14:textId="77777777" w:rsidR="00713291" w:rsidRDefault="00000000">
            <w:r>
              <w:rPr>
                <w:b/>
                <w:bCs/>
                <w:color w:val="FFFFFF"/>
                <w:sz w:val="19"/>
                <w:szCs w:val="19"/>
              </w:rPr>
              <w:t>Component</w:t>
            </w:r>
          </w:p>
        </w:tc>
        <w:tc>
          <w:tcPr>
            <w:tcW w:w="2400" w:type="dxa"/>
            <w:shd w:val="clear" w:color="auto" w:fill="1B3A5C"/>
            <w:tcMar>
              <w:top w:w="70" w:type="dxa"/>
              <w:left w:w="110" w:type="dxa"/>
              <w:bottom w:w="70" w:type="dxa"/>
              <w:right w:w="110" w:type="dxa"/>
            </w:tcMar>
            <w:vAlign w:val="center"/>
          </w:tcPr>
          <w:p w14:paraId="7AED9B2E" w14:textId="77777777" w:rsidR="00713291" w:rsidRDefault="00000000">
            <w:r>
              <w:rPr>
                <w:b/>
                <w:bCs/>
                <w:color w:val="FFFFFF"/>
                <w:sz w:val="19"/>
                <w:szCs w:val="19"/>
              </w:rPr>
              <w:t>Best reported sample value</w:t>
            </w:r>
          </w:p>
        </w:tc>
        <w:tc>
          <w:tcPr>
            <w:tcW w:w="4460" w:type="dxa"/>
            <w:shd w:val="clear" w:color="auto" w:fill="1B3A5C"/>
            <w:tcMar>
              <w:top w:w="70" w:type="dxa"/>
              <w:left w:w="110" w:type="dxa"/>
              <w:bottom w:w="70" w:type="dxa"/>
              <w:right w:w="110" w:type="dxa"/>
            </w:tcMar>
            <w:vAlign w:val="center"/>
          </w:tcPr>
          <w:p w14:paraId="08671EDD" w14:textId="77777777" w:rsidR="00713291" w:rsidRDefault="00000000">
            <w:r>
              <w:rPr>
                <w:b/>
                <w:bCs/>
                <w:color w:val="FFFFFF"/>
                <w:sz w:val="19"/>
                <w:szCs w:val="19"/>
              </w:rPr>
              <w:t>Investor read</w:t>
            </w:r>
          </w:p>
        </w:tc>
      </w:tr>
      <w:tr w:rsidR="00713291" w14:paraId="29D36BEE" w14:textId="77777777">
        <w:tblPrEx>
          <w:tblCellMar>
            <w:top w:w="0" w:type="dxa"/>
            <w:bottom w:w="0" w:type="dxa"/>
          </w:tblCellMar>
        </w:tblPrEx>
        <w:trPr>
          <w:gridAfter w:val="1"/>
          <w:wAfter w:w="29" w:type="dxa"/>
        </w:trPr>
        <w:tc>
          <w:tcPr>
            <w:tcW w:w="2500" w:type="dxa"/>
            <w:gridSpan w:val="2"/>
            <w:shd w:val="clear" w:color="auto" w:fill="FFFFFF"/>
            <w:tcMar>
              <w:top w:w="60" w:type="dxa"/>
              <w:left w:w="110" w:type="dxa"/>
              <w:bottom w:w="60" w:type="dxa"/>
              <w:right w:w="110" w:type="dxa"/>
            </w:tcMar>
            <w:vAlign w:val="center"/>
          </w:tcPr>
          <w:p w14:paraId="627BD653" w14:textId="77777777" w:rsidR="00713291" w:rsidRDefault="00000000">
            <w:pPr>
              <w:spacing w:line="260" w:lineRule="auto"/>
            </w:pPr>
            <w:r>
              <w:rPr>
                <w:sz w:val="19"/>
                <w:szCs w:val="19"/>
              </w:rPr>
              <w:t>Total REE oxide (TREO)</w:t>
            </w:r>
          </w:p>
        </w:tc>
        <w:tc>
          <w:tcPr>
            <w:tcW w:w="2400" w:type="dxa"/>
            <w:shd w:val="clear" w:color="auto" w:fill="FFFFFF"/>
            <w:tcMar>
              <w:top w:w="60" w:type="dxa"/>
              <w:left w:w="110" w:type="dxa"/>
              <w:bottom w:w="60" w:type="dxa"/>
              <w:right w:w="110" w:type="dxa"/>
            </w:tcMar>
            <w:vAlign w:val="center"/>
          </w:tcPr>
          <w:p w14:paraId="43DA0631" w14:textId="77777777" w:rsidR="00713291" w:rsidRDefault="00000000">
            <w:pPr>
              <w:spacing w:line="260" w:lineRule="auto"/>
            </w:pPr>
            <w:r>
              <w:rPr>
                <w:sz w:val="19"/>
                <w:szCs w:val="19"/>
              </w:rPr>
              <w:t>up to 12.4 wt%</w:t>
            </w:r>
          </w:p>
        </w:tc>
        <w:tc>
          <w:tcPr>
            <w:tcW w:w="4460" w:type="dxa"/>
            <w:shd w:val="clear" w:color="auto" w:fill="FFFFFF"/>
            <w:tcMar>
              <w:top w:w="60" w:type="dxa"/>
              <w:left w:w="110" w:type="dxa"/>
              <w:bottom w:w="60" w:type="dxa"/>
              <w:right w:w="110" w:type="dxa"/>
            </w:tcMar>
            <w:vAlign w:val="center"/>
          </w:tcPr>
          <w:p w14:paraId="1E2C700D" w14:textId="77777777" w:rsidR="00713291" w:rsidRDefault="00000000">
            <w:pPr>
              <w:spacing w:line="260" w:lineRule="auto"/>
            </w:pPr>
            <w:r>
              <w:rPr>
                <w:sz w:val="19"/>
                <w:szCs w:val="19"/>
              </w:rPr>
              <w:t>Exceptional tenor; specimen-scale only</w:t>
            </w:r>
          </w:p>
        </w:tc>
      </w:tr>
      <w:tr w:rsidR="00713291" w14:paraId="77A02C57" w14:textId="77777777">
        <w:tblPrEx>
          <w:tblCellMar>
            <w:top w:w="0" w:type="dxa"/>
            <w:bottom w:w="0" w:type="dxa"/>
          </w:tblCellMar>
        </w:tblPrEx>
        <w:trPr>
          <w:gridAfter w:val="1"/>
          <w:wAfter w:w="29" w:type="dxa"/>
        </w:trPr>
        <w:tc>
          <w:tcPr>
            <w:tcW w:w="2500" w:type="dxa"/>
            <w:gridSpan w:val="2"/>
            <w:shd w:val="clear" w:color="auto" w:fill="EEF3F9"/>
            <w:tcMar>
              <w:top w:w="60" w:type="dxa"/>
              <w:left w:w="110" w:type="dxa"/>
              <w:bottom w:w="60" w:type="dxa"/>
              <w:right w:w="110" w:type="dxa"/>
            </w:tcMar>
            <w:vAlign w:val="center"/>
          </w:tcPr>
          <w:p w14:paraId="2EE04EB2" w14:textId="77777777" w:rsidR="00713291" w:rsidRDefault="00000000">
            <w:pPr>
              <w:spacing w:line="260" w:lineRule="auto"/>
            </w:pPr>
            <w:r>
              <w:rPr>
                <w:sz w:val="19"/>
                <w:szCs w:val="19"/>
              </w:rPr>
              <w:t>Strontium (</w:t>
            </w:r>
            <w:proofErr w:type="spellStart"/>
            <w:r>
              <w:rPr>
                <w:sz w:val="19"/>
                <w:szCs w:val="19"/>
              </w:rPr>
              <w:t>SrO</w:t>
            </w:r>
            <w:proofErr w:type="spellEnd"/>
            <w:r>
              <w:rPr>
                <w:sz w:val="19"/>
                <w:szCs w:val="19"/>
              </w:rPr>
              <w:t>)</w:t>
            </w:r>
          </w:p>
        </w:tc>
        <w:tc>
          <w:tcPr>
            <w:tcW w:w="2400" w:type="dxa"/>
            <w:shd w:val="clear" w:color="auto" w:fill="EEF3F9"/>
            <w:tcMar>
              <w:top w:w="60" w:type="dxa"/>
              <w:left w:w="110" w:type="dxa"/>
              <w:bottom w:w="60" w:type="dxa"/>
              <w:right w:w="110" w:type="dxa"/>
            </w:tcMar>
            <w:vAlign w:val="center"/>
          </w:tcPr>
          <w:p w14:paraId="6E37D635" w14:textId="77777777" w:rsidR="00713291" w:rsidRDefault="00000000">
            <w:pPr>
              <w:spacing w:line="260" w:lineRule="auto"/>
            </w:pPr>
            <w:r>
              <w:rPr>
                <w:sz w:val="19"/>
                <w:szCs w:val="19"/>
              </w:rPr>
              <w:t>up to 14.6 wt%</w:t>
            </w:r>
          </w:p>
        </w:tc>
        <w:tc>
          <w:tcPr>
            <w:tcW w:w="4460" w:type="dxa"/>
            <w:shd w:val="clear" w:color="auto" w:fill="EEF3F9"/>
            <w:tcMar>
              <w:top w:w="60" w:type="dxa"/>
              <w:left w:w="110" w:type="dxa"/>
              <w:bottom w:w="60" w:type="dxa"/>
              <w:right w:w="110" w:type="dxa"/>
            </w:tcMar>
            <w:vAlign w:val="center"/>
          </w:tcPr>
          <w:p w14:paraId="6F219D65" w14:textId="77777777" w:rsidR="00713291" w:rsidRDefault="00000000">
            <w:pPr>
              <w:spacing w:line="260" w:lineRule="auto"/>
            </w:pPr>
            <w:r>
              <w:rPr>
                <w:sz w:val="19"/>
                <w:szCs w:val="19"/>
              </w:rPr>
              <w:t>Potential Sr co-product; market is small</w:t>
            </w:r>
          </w:p>
        </w:tc>
      </w:tr>
      <w:tr w:rsidR="00713291" w14:paraId="3C390DF6" w14:textId="77777777">
        <w:tblPrEx>
          <w:tblCellMar>
            <w:top w:w="0" w:type="dxa"/>
            <w:bottom w:w="0" w:type="dxa"/>
          </w:tblCellMar>
        </w:tblPrEx>
        <w:trPr>
          <w:gridAfter w:val="1"/>
          <w:wAfter w:w="29" w:type="dxa"/>
        </w:trPr>
        <w:tc>
          <w:tcPr>
            <w:tcW w:w="2500" w:type="dxa"/>
            <w:gridSpan w:val="2"/>
            <w:shd w:val="clear" w:color="auto" w:fill="FFFFFF"/>
            <w:tcMar>
              <w:top w:w="60" w:type="dxa"/>
              <w:left w:w="110" w:type="dxa"/>
              <w:bottom w:w="60" w:type="dxa"/>
              <w:right w:w="110" w:type="dxa"/>
            </w:tcMar>
            <w:vAlign w:val="center"/>
          </w:tcPr>
          <w:p w14:paraId="56D20129" w14:textId="77777777" w:rsidR="00713291" w:rsidRDefault="00000000">
            <w:pPr>
              <w:spacing w:line="260" w:lineRule="auto"/>
            </w:pPr>
            <w:r>
              <w:rPr>
                <w:sz w:val="19"/>
                <w:szCs w:val="19"/>
              </w:rPr>
              <w:t>Barium (</w:t>
            </w:r>
            <w:proofErr w:type="spellStart"/>
            <w:r>
              <w:rPr>
                <w:sz w:val="19"/>
                <w:szCs w:val="19"/>
              </w:rPr>
              <w:t>BaO</w:t>
            </w:r>
            <w:proofErr w:type="spellEnd"/>
            <w:r>
              <w:rPr>
                <w:sz w:val="19"/>
                <w:szCs w:val="19"/>
              </w:rPr>
              <w:t>)</w:t>
            </w:r>
          </w:p>
        </w:tc>
        <w:tc>
          <w:tcPr>
            <w:tcW w:w="2400" w:type="dxa"/>
            <w:shd w:val="clear" w:color="auto" w:fill="FFFFFF"/>
            <w:tcMar>
              <w:top w:w="60" w:type="dxa"/>
              <w:left w:w="110" w:type="dxa"/>
              <w:bottom w:w="60" w:type="dxa"/>
              <w:right w:w="110" w:type="dxa"/>
            </w:tcMar>
            <w:vAlign w:val="center"/>
          </w:tcPr>
          <w:p w14:paraId="51836FF7" w14:textId="77777777" w:rsidR="00713291" w:rsidRDefault="00000000">
            <w:pPr>
              <w:spacing w:line="260" w:lineRule="auto"/>
            </w:pPr>
            <w:r>
              <w:rPr>
                <w:sz w:val="19"/>
                <w:szCs w:val="19"/>
              </w:rPr>
              <w:t>up to 12.4 wt%</w:t>
            </w:r>
          </w:p>
        </w:tc>
        <w:tc>
          <w:tcPr>
            <w:tcW w:w="4460" w:type="dxa"/>
            <w:shd w:val="clear" w:color="auto" w:fill="FFFFFF"/>
            <w:tcMar>
              <w:top w:w="60" w:type="dxa"/>
              <w:left w:w="110" w:type="dxa"/>
              <w:bottom w:w="60" w:type="dxa"/>
              <w:right w:w="110" w:type="dxa"/>
            </w:tcMar>
            <w:vAlign w:val="center"/>
          </w:tcPr>
          <w:p w14:paraId="3A6B2A0D" w14:textId="77777777" w:rsidR="00713291" w:rsidRDefault="00000000">
            <w:pPr>
              <w:spacing w:line="260" w:lineRule="auto"/>
            </w:pPr>
            <w:r>
              <w:rPr>
                <w:sz w:val="19"/>
                <w:szCs w:val="19"/>
              </w:rPr>
              <w:t>Barite by-product potential; low value</w:t>
            </w:r>
          </w:p>
        </w:tc>
      </w:tr>
      <w:tr w:rsidR="00713291" w14:paraId="24C14742" w14:textId="77777777">
        <w:tblPrEx>
          <w:tblCellMar>
            <w:top w:w="0" w:type="dxa"/>
            <w:bottom w:w="0" w:type="dxa"/>
          </w:tblCellMar>
        </w:tblPrEx>
        <w:trPr>
          <w:gridAfter w:val="1"/>
          <w:wAfter w:w="29" w:type="dxa"/>
        </w:trPr>
        <w:tc>
          <w:tcPr>
            <w:tcW w:w="2500" w:type="dxa"/>
            <w:gridSpan w:val="2"/>
            <w:shd w:val="clear" w:color="auto" w:fill="EEF3F9"/>
            <w:tcMar>
              <w:top w:w="60" w:type="dxa"/>
              <w:left w:w="110" w:type="dxa"/>
              <w:bottom w:w="60" w:type="dxa"/>
              <w:right w:w="110" w:type="dxa"/>
            </w:tcMar>
            <w:vAlign w:val="center"/>
          </w:tcPr>
          <w:p w14:paraId="73D97D04" w14:textId="77777777" w:rsidR="00713291" w:rsidRDefault="00000000">
            <w:pPr>
              <w:spacing w:line="260" w:lineRule="auto"/>
            </w:pPr>
            <w:r>
              <w:rPr>
                <w:sz w:val="19"/>
                <w:szCs w:val="19"/>
              </w:rPr>
              <w:t>REE host minerals</w:t>
            </w:r>
          </w:p>
        </w:tc>
        <w:tc>
          <w:tcPr>
            <w:tcW w:w="2400" w:type="dxa"/>
            <w:shd w:val="clear" w:color="auto" w:fill="EEF3F9"/>
            <w:tcMar>
              <w:top w:w="60" w:type="dxa"/>
              <w:left w:w="110" w:type="dxa"/>
              <w:bottom w:w="60" w:type="dxa"/>
              <w:right w:w="110" w:type="dxa"/>
            </w:tcMar>
            <w:vAlign w:val="center"/>
          </w:tcPr>
          <w:p w14:paraId="799DFCCF" w14:textId="77777777" w:rsidR="00713291" w:rsidRDefault="00000000">
            <w:pPr>
              <w:spacing w:line="260" w:lineRule="auto"/>
            </w:pPr>
            <w:r>
              <w:rPr>
                <w:sz w:val="19"/>
                <w:szCs w:val="19"/>
              </w:rPr>
              <w:t xml:space="preserve">Monazite-(Ce), </w:t>
            </w:r>
            <w:proofErr w:type="spellStart"/>
            <w:r>
              <w:rPr>
                <w:sz w:val="19"/>
                <w:szCs w:val="19"/>
              </w:rPr>
              <w:t>daqingshanite</w:t>
            </w:r>
            <w:proofErr w:type="spellEnd"/>
            <w:r>
              <w:rPr>
                <w:sz w:val="19"/>
                <w:szCs w:val="19"/>
              </w:rPr>
              <w:t xml:space="preserve">-(Ce), </w:t>
            </w:r>
            <w:proofErr w:type="spellStart"/>
            <w:r>
              <w:rPr>
                <w:sz w:val="19"/>
                <w:szCs w:val="19"/>
              </w:rPr>
              <w:t>burbankite</w:t>
            </w:r>
            <w:proofErr w:type="spellEnd"/>
          </w:p>
        </w:tc>
        <w:tc>
          <w:tcPr>
            <w:tcW w:w="4460" w:type="dxa"/>
            <w:shd w:val="clear" w:color="auto" w:fill="EEF3F9"/>
            <w:tcMar>
              <w:top w:w="60" w:type="dxa"/>
              <w:left w:w="110" w:type="dxa"/>
              <w:bottom w:w="60" w:type="dxa"/>
              <w:right w:w="110" w:type="dxa"/>
            </w:tcMar>
            <w:vAlign w:val="center"/>
          </w:tcPr>
          <w:p w14:paraId="3CF882DE" w14:textId="77777777" w:rsidR="00713291" w:rsidRDefault="00000000">
            <w:pPr>
              <w:spacing w:line="260" w:lineRule="auto"/>
            </w:pPr>
            <w:r>
              <w:rPr>
                <w:sz w:val="19"/>
                <w:szCs w:val="19"/>
              </w:rPr>
              <w:t>Generally processable mineral suite</w:t>
            </w:r>
          </w:p>
        </w:tc>
      </w:tr>
      <w:tr w:rsidR="00713291" w14:paraId="6F8C8F67" w14:textId="77777777">
        <w:tblPrEx>
          <w:tblBorders>
            <w:top w:val="single" w:sz="2" w:space="0" w:color="B03A2E"/>
            <w:left w:val="single" w:sz="24" w:space="0" w:color="B03A2E"/>
            <w:bottom w:val="single" w:sz="2" w:space="0" w:color="B03A2E"/>
            <w:right w:val="single" w:sz="2" w:space="0" w:color="B03A2E"/>
            <w:insideH w:val="single" w:sz="4" w:space="0" w:color="auto"/>
            <w:insideV w:val="single" w:sz="4" w:space="0" w:color="auto"/>
          </w:tblBorders>
          <w:tblCellMar>
            <w:top w:w="0" w:type="dxa"/>
            <w:bottom w:w="0" w:type="dxa"/>
          </w:tblCellMar>
        </w:tblPrEx>
        <w:trPr>
          <w:gridBefore w:val="1"/>
          <w:wBefore w:w="29" w:type="dxa"/>
        </w:trPr>
        <w:tc>
          <w:tcPr>
            <w:tcW w:w="9360" w:type="dxa"/>
            <w:gridSpan w:val="4"/>
            <w:shd w:val="clear" w:color="auto" w:fill="F7DDDD"/>
            <w:tcMar>
              <w:top w:w="140" w:type="dxa"/>
              <w:left w:w="200" w:type="dxa"/>
              <w:bottom w:w="140" w:type="dxa"/>
              <w:right w:w="160" w:type="dxa"/>
            </w:tcMar>
          </w:tcPr>
          <w:p w14:paraId="25D762D4" w14:textId="77777777" w:rsidR="00713291" w:rsidRDefault="00000000">
            <w:pPr>
              <w:spacing w:after="80"/>
            </w:pPr>
            <w:r>
              <w:rPr>
                <w:b/>
                <w:bCs/>
                <w:color w:val="B03A2E"/>
                <w:sz w:val="22"/>
                <w:szCs w:val="22"/>
              </w:rPr>
              <w:t>The grade caveat — stated plainly</w:t>
            </w:r>
          </w:p>
          <w:p w14:paraId="52F72D2A" w14:textId="77777777" w:rsidR="00713291" w:rsidRDefault="00000000">
            <w:pPr>
              <w:spacing w:line="268" w:lineRule="auto"/>
              <w:jc w:val="both"/>
            </w:pPr>
            <w:r>
              <w:rPr>
                <w:b/>
                <w:bCs/>
              </w:rPr>
              <w:t xml:space="preserve">A 12.4% TREO grab sample is not a 12.4% deposit. </w:t>
            </w:r>
            <w:r>
              <w:t>Carbonatite dykes are characteristically narrow and internally variable. Until channel sampling across true widths and, ultimately, drilling establish a representative average grade and a continuous mineralised volume, no statement about “deposit grade” can responsibly be made. The honest summary is: spectacular rock, unknown deposit.</w:t>
            </w:r>
          </w:p>
        </w:tc>
      </w:tr>
    </w:tbl>
    <w:p w14:paraId="7E6658E0" w14:textId="77777777" w:rsidR="00713291" w:rsidRDefault="00000000">
      <w:pPr>
        <w:pStyle w:val="Heading2"/>
      </w:pPr>
      <w:r>
        <w:t>5.2 Mineralogy and metallurgical implications</w:t>
      </w:r>
    </w:p>
    <w:p w14:paraId="376C9052" w14:textId="77777777" w:rsidR="00713291" w:rsidRDefault="00000000">
      <w:pPr>
        <w:spacing w:after="140" w:line="276" w:lineRule="auto"/>
        <w:jc w:val="both"/>
      </w:pPr>
      <w:r>
        <w:t xml:space="preserve">The carbonatite is composed of an intergrown suite of Ca–Sr–Ba–REE carbonates — Sr-rich calcite, dolomite, </w:t>
      </w:r>
      <w:proofErr w:type="spellStart"/>
      <w:r>
        <w:t>strontianite</w:t>
      </w:r>
      <w:proofErr w:type="spellEnd"/>
      <w:r>
        <w:t xml:space="preserve">, </w:t>
      </w:r>
      <w:proofErr w:type="spellStart"/>
      <w:r>
        <w:t>alstonite</w:t>
      </w:r>
      <w:proofErr w:type="spellEnd"/>
      <w:r>
        <w:t xml:space="preserve">, </w:t>
      </w:r>
      <w:proofErr w:type="spellStart"/>
      <w:r>
        <w:t>huntite</w:t>
      </w:r>
      <w:proofErr w:type="spellEnd"/>
      <w:r>
        <w:t xml:space="preserve"> and </w:t>
      </w:r>
      <w:proofErr w:type="spellStart"/>
      <w:r>
        <w:t>burbankite</w:t>
      </w:r>
      <w:proofErr w:type="spellEnd"/>
      <w:r>
        <w:t xml:space="preserve"> — together with coarse-grained monazite-(Ce), the unusual phosphate-carbonate mineral </w:t>
      </w:r>
      <w:proofErr w:type="spellStart"/>
      <w:r>
        <w:t>daqingshanite</w:t>
      </w:r>
      <w:proofErr w:type="spellEnd"/>
      <w:r>
        <w:t xml:space="preserve">-(Ce), apatite, magnetite and discrete barite. A notable textural feature is widespread fine-scale </w:t>
      </w:r>
      <w:r>
        <w:rPr>
          <w:b/>
          <w:bCs/>
        </w:rPr>
        <w:t>exsolution</w:t>
      </w:r>
      <w:r>
        <w:t xml:space="preserve"> of one mineral within another (for example </w:t>
      </w:r>
      <w:proofErr w:type="spellStart"/>
      <w:r>
        <w:t>daqingshanite</w:t>
      </w:r>
      <w:proofErr w:type="spellEnd"/>
      <w:r>
        <w:t xml:space="preserve"> within calcite and within </w:t>
      </w:r>
      <w:proofErr w:type="spellStart"/>
      <w:r>
        <w:t>burbankite</w:t>
      </w:r>
      <w:proofErr w:type="spellEnd"/>
      <w:r>
        <w:t>).</w:t>
      </w:r>
    </w:p>
    <w:p w14:paraId="5AE978DF" w14:textId="77777777" w:rsidR="00713291" w:rsidRDefault="00000000">
      <w:pPr>
        <w:spacing w:after="140" w:line="276" w:lineRule="auto"/>
        <w:jc w:val="both"/>
      </w:pPr>
      <w:r>
        <w:t>From a processing standpoint this carries mixed signals that field metallurgy will need to resolve:</w:t>
      </w:r>
    </w:p>
    <w:p w14:paraId="49CEF01B" w14:textId="77777777" w:rsidR="00713291" w:rsidRDefault="00000000">
      <w:pPr>
        <w:pStyle w:val="ListParagraph"/>
        <w:numPr>
          <w:ilvl w:val="0"/>
          <w:numId w:val="2"/>
        </w:numPr>
        <w:spacing w:after="90" w:line="272" w:lineRule="auto"/>
      </w:pPr>
      <w:r>
        <w:rPr>
          <w:b/>
          <w:bCs/>
        </w:rPr>
        <w:t xml:space="preserve">Favourable: </w:t>
      </w:r>
      <w:r>
        <w:t xml:space="preserve">monazite, </w:t>
      </w:r>
      <w:proofErr w:type="spellStart"/>
      <w:r>
        <w:t>daqingshanite</w:t>
      </w:r>
      <w:proofErr w:type="spellEnd"/>
      <w:r>
        <w:t xml:space="preserve"> and </w:t>
      </w:r>
      <w:proofErr w:type="spellStart"/>
      <w:r>
        <w:t>burbankite</w:t>
      </w:r>
      <w:proofErr w:type="spellEnd"/>
      <w:r>
        <w:t xml:space="preserve"> are carbonate/phosphate hosts that are, in principle, more amenable to conventional cracking and leaching than refractory silicates such as allanite or eudialyte.</w:t>
      </w:r>
    </w:p>
    <w:p w14:paraId="22DE27A2" w14:textId="77777777" w:rsidR="00713291" w:rsidRDefault="00000000">
      <w:pPr>
        <w:pStyle w:val="ListParagraph"/>
        <w:numPr>
          <w:ilvl w:val="0"/>
          <w:numId w:val="2"/>
        </w:numPr>
        <w:spacing w:after="90" w:line="272" w:lineRule="auto"/>
      </w:pPr>
      <w:r>
        <w:rPr>
          <w:b/>
          <w:bCs/>
        </w:rPr>
        <w:t xml:space="preserve">Cautionary: </w:t>
      </w:r>
      <w:r>
        <w:t>the very fine intergrowth and exsolution textures may make clean mineral liberation difficult, which can hurt concentrate grade and recovery; grind size and flowsheet would need test work.</w:t>
      </w:r>
    </w:p>
    <w:p w14:paraId="3FA333F0" w14:textId="77777777" w:rsidR="00713291" w:rsidRDefault="00000000">
      <w:pPr>
        <w:pStyle w:val="ListParagraph"/>
        <w:numPr>
          <w:ilvl w:val="0"/>
          <w:numId w:val="2"/>
        </w:numPr>
        <w:spacing w:after="90" w:line="272" w:lineRule="auto"/>
      </w:pPr>
      <w:r>
        <w:rPr>
          <w:b/>
          <w:bCs/>
        </w:rPr>
        <w:t xml:space="preserve">Radioactivity: </w:t>
      </w:r>
      <w:r>
        <w:t xml:space="preserve">monazite commonly carries thorium (and sometimes uranium). Greenland reinstated a zero-tolerance uranium policy in 2021, and radionuclide content is both a </w:t>
      </w:r>
      <w:r>
        <w:lastRenderedPageBreak/>
        <w:t>permitting and a product-marketing consideration. Th/U assays are an early, non-negotiable data requirement.</w:t>
      </w:r>
    </w:p>
    <w:tbl>
      <w:tblPr>
        <w:tblW w:w="9360" w:type="dxa"/>
        <w:tblBorders>
          <w:top w:val="single" w:sz="2" w:space="0" w:color="2D6A4F"/>
          <w:left w:val="single" w:sz="2" w:space="0" w:color="2D6A4F"/>
          <w:bottom w:val="single" w:sz="2" w:space="0" w:color="2D6A4F"/>
          <w:right w:val="single" w:sz="2" w:space="0" w:color="2D6A4F"/>
          <w:insideH w:val="single" w:sz="4" w:space="0" w:color="auto"/>
          <w:insideV w:val="single" w:sz="4" w:space="0" w:color="auto"/>
        </w:tblBorders>
        <w:shd w:val="clear" w:color="auto" w:fill="D9F2D0" w:themeFill="accent6" w:themeFillTint="33"/>
        <w:tblCellMar>
          <w:left w:w="10" w:type="dxa"/>
          <w:right w:w="10" w:type="dxa"/>
        </w:tblCellMar>
        <w:tblLook w:val="04A0" w:firstRow="1" w:lastRow="0" w:firstColumn="1" w:lastColumn="0" w:noHBand="0" w:noVBand="1"/>
      </w:tblPr>
      <w:tblGrid>
        <w:gridCol w:w="9360"/>
      </w:tblGrid>
      <w:tr w:rsidR="00713291" w:rsidRPr="009A05A0" w14:paraId="798EA13A" w14:textId="77777777" w:rsidTr="009A05A0">
        <w:tblPrEx>
          <w:tblCellMar>
            <w:top w:w="0" w:type="dxa"/>
            <w:bottom w:w="0" w:type="dxa"/>
          </w:tblCellMar>
        </w:tblPrEx>
        <w:tc>
          <w:tcPr>
            <w:tcW w:w="9360" w:type="dxa"/>
            <w:shd w:val="clear" w:color="auto" w:fill="D9F2D0" w:themeFill="accent6" w:themeFillTint="33"/>
            <w:tcMar>
              <w:top w:w="160" w:type="dxa"/>
              <w:left w:w="200" w:type="dxa"/>
              <w:bottom w:w="160" w:type="dxa"/>
              <w:right w:w="200" w:type="dxa"/>
            </w:tcMar>
          </w:tcPr>
          <w:p w14:paraId="730C5FF7" w14:textId="77777777" w:rsidR="00713291" w:rsidRPr="009A05A0" w:rsidRDefault="00000000">
            <w:pPr>
              <w:spacing w:after="80"/>
              <w:rPr>
                <w:color w:val="000000" w:themeColor="text1"/>
              </w:rPr>
            </w:pPr>
            <w:r w:rsidRPr="009A05A0">
              <w:rPr>
                <w:b/>
                <w:bCs/>
                <w:color w:val="000000" w:themeColor="text1"/>
                <w:sz w:val="22"/>
                <w:szCs w:val="22"/>
              </w:rPr>
              <w:t>QP Opinion 2</w:t>
            </w:r>
          </w:p>
          <w:p w14:paraId="3CCA8882" w14:textId="77777777" w:rsidR="00713291" w:rsidRPr="009A05A0" w:rsidRDefault="00000000">
            <w:pPr>
              <w:spacing w:line="268" w:lineRule="auto"/>
              <w:jc w:val="both"/>
              <w:rPr>
                <w:color w:val="000000" w:themeColor="text1"/>
              </w:rPr>
            </w:pPr>
            <w:r w:rsidRPr="009A05A0">
              <w:rPr>
                <w:color w:val="000000" w:themeColor="text1"/>
              </w:rPr>
              <w:t>The mineralogy is a double-edged sword and should be presented to investors as such. The host-mineral suite is broadly the “good” kind for REE extraction, which de-risks one part of the value chain relative to silicate-hosted Greenland peers. But fine exsolution textures and probable thorium in the monazite are real, early-stage technical and regulatory questions. Neither can be answered from the published petrography alone; both require samples in a metallurgical laboratory.</w:t>
            </w:r>
          </w:p>
          <w:p w14:paraId="40E3ADC8" w14:textId="77777777" w:rsidR="00713291" w:rsidRPr="009A05A0" w:rsidRDefault="00000000">
            <w:pPr>
              <w:spacing w:before="100"/>
              <w:rPr>
                <w:color w:val="000000" w:themeColor="text1"/>
              </w:rPr>
            </w:pPr>
            <w:r w:rsidRPr="009A05A0">
              <w:rPr>
                <w:i/>
                <w:iCs/>
                <w:color w:val="000000" w:themeColor="text1"/>
                <w:sz w:val="18"/>
                <w:szCs w:val="18"/>
              </w:rPr>
              <w:t>Malcolm Castle, MAusIMM (CP Geo) — Qualified Person, Agricola Mining Consultants Pty Ltd</w:t>
            </w:r>
          </w:p>
        </w:tc>
      </w:tr>
    </w:tbl>
    <w:p w14:paraId="6FCC2A86" w14:textId="77777777" w:rsidR="00713291" w:rsidRDefault="00000000">
      <w:pPr>
        <w:pStyle w:val="Heading1"/>
      </w:pPr>
      <w:r>
        <w:t>6. Exploration Status and Data Gaps</w:t>
      </w:r>
    </w:p>
    <w:p w14:paraId="06884BA6" w14:textId="77777777" w:rsidR="00713291" w:rsidRDefault="00000000">
      <w:pPr>
        <w:spacing w:after="140" w:line="276" w:lineRule="auto"/>
        <w:jc w:val="both"/>
      </w:pPr>
      <w:r>
        <w:t xml:space="preserve">It is essential that investors understand how little formal exploration exists. The carbonatite is a </w:t>
      </w:r>
      <w:r>
        <w:rPr>
          <w:b/>
          <w:bCs/>
        </w:rPr>
        <w:t>scientific discovery</w:t>
      </w:r>
      <w:r>
        <w:t>, reported by a survey-and-university team, not the product of a staged commercial exploration programme. The following table summarises what exists and what does not.</w:t>
      </w: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29"/>
        <w:gridCol w:w="4159"/>
        <w:gridCol w:w="5143"/>
        <w:gridCol w:w="29"/>
      </w:tblGrid>
      <w:tr w:rsidR="00713291" w14:paraId="2E8CE97E" w14:textId="77777777">
        <w:tblPrEx>
          <w:tblCellMar>
            <w:top w:w="0" w:type="dxa"/>
            <w:bottom w:w="0" w:type="dxa"/>
          </w:tblCellMar>
        </w:tblPrEx>
        <w:trPr>
          <w:gridAfter w:val="1"/>
          <w:wAfter w:w="29" w:type="dxa"/>
          <w:tblHeader/>
        </w:trPr>
        <w:tc>
          <w:tcPr>
            <w:tcW w:w="4200" w:type="dxa"/>
            <w:gridSpan w:val="2"/>
            <w:shd w:val="clear" w:color="auto" w:fill="1B3A5C"/>
            <w:tcMar>
              <w:top w:w="70" w:type="dxa"/>
              <w:left w:w="110" w:type="dxa"/>
              <w:bottom w:w="70" w:type="dxa"/>
              <w:right w:w="110" w:type="dxa"/>
            </w:tcMar>
            <w:vAlign w:val="center"/>
          </w:tcPr>
          <w:p w14:paraId="35CAC140" w14:textId="77777777" w:rsidR="00713291" w:rsidRDefault="00000000">
            <w:r>
              <w:rPr>
                <w:b/>
                <w:bCs/>
                <w:color w:val="FFFFFF"/>
                <w:sz w:val="19"/>
                <w:szCs w:val="19"/>
              </w:rPr>
              <w:t>Dataset / milestone</w:t>
            </w:r>
          </w:p>
        </w:tc>
        <w:tc>
          <w:tcPr>
            <w:tcW w:w="5160" w:type="dxa"/>
            <w:shd w:val="clear" w:color="auto" w:fill="1B3A5C"/>
            <w:tcMar>
              <w:top w:w="70" w:type="dxa"/>
              <w:left w:w="110" w:type="dxa"/>
              <w:bottom w:w="70" w:type="dxa"/>
              <w:right w:w="110" w:type="dxa"/>
            </w:tcMar>
            <w:vAlign w:val="center"/>
          </w:tcPr>
          <w:p w14:paraId="3E647297" w14:textId="77777777" w:rsidR="00713291" w:rsidRDefault="00000000">
            <w:r>
              <w:rPr>
                <w:b/>
                <w:bCs/>
                <w:color w:val="FFFFFF"/>
                <w:sz w:val="19"/>
                <w:szCs w:val="19"/>
              </w:rPr>
              <w:t>Status at Attu</w:t>
            </w:r>
          </w:p>
        </w:tc>
      </w:tr>
      <w:tr w:rsidR="00713291" w14:paraId="7B62D020" w14:textId="77777777">
        <w:tblPrEx>
          <w:tblCellMar>
            <w:top w:w="0" w:type="dxa"/>
            <w:bottom w:w="0" w:type="dxa"/>
          </w:tblCellMar>
        </w:tblPrEx>
        <w:trPr>
          <w:gridAfter w:val="1"/>
          <w:wAfter w:w="29" w:type="dxa"/>
        </w:trPr>
        <w:tc>
          <w:tcPr>
            <w:tcW w:w="4200" w:type="dxa"/>
            <w:gridSpan w:val="2"/>
            <w:shd w:val="clear" w:color="auto" w:fill="FFFFFF"/>
            <w:tcMar>
              <w:top w:w="60" w:type="dxa"/>
              <w:left w:w="110" w:type="dxa"/>
              <w:bottom w:w="60" w:type="dxa"/>
              <w:right w:w="110" w:type="dxa"/>
            </w:tcMar>
            <w:vAlign w:val="center"/>
          </w:tcPr>
          <w:p w14:paraId="6EE64A0E" w14:textId="77777777" w:rsidR="00713291" w:rsidRDefault="00000000">
            <w:pPr>
              <w:spacing w:line="260" w:lineRule="auto"/>
            </w:pPr>
            <w:r>
              <w:rPr>
                <w:sz w:val="19"/>
                <w:szCs w:val="19"/>
              </w:rPr>
              <w:t>Geological mapping</w:t>
            </w:r>
          </w:p>
        </w:tc>
        <w:tc>
          <w:tcPr>
            <w:tcW w:w="5160" w:type="dxa"/>
            <w:shd w:val="clear" w:color="auto" w:fill="FFFFFF"/>
            <w:tcMar>
              <w:top w:w="60" w:type="dxa"/>
              <w:left w:w="110" w:type="dxa"/>
              <w:bottom w:w="60" w:type="dxa"/>
              <w:right w:w="110" w:type="dxa"/>
            </w:tcMar>
            <w:vAlign w:val="center"/>
          </w:tcPr>
          <w:p w14:paraId="13B3FFA3" w14:textId="77777777" w:rsidR="00713291" w:rsidRDefault="00000000">
            <w:pPr>
              <w:spacing w:line="260" w:lineRule="auto"/>
            </w:pPr>
            <w:r>
              <w:rPr>
                <w:sz w:val="19"/>
                <w:szCs w:val="19"/>
              </w:rPr>
              <w:t>Reconnaissance / academic only</w:t>
            </w:r>
          </w:p>
        </w:tc>
      </w:tr>
      <w:tr w:rsidR="00713291" w14:paraId="225C57B8" w14:textId="77777777">
        <w:tblPrEx>
          <w:tblCellMar>
            <w:top w:w="0" w:type="dxa"/>
            <w:bottom w:w="0" w:type="dxa"/>
          </w:tblCellMar>
        </w:tblPrEx>
        <w:trPr>
          <w:gridAfter w:val="1"/>
          <w:wAfter w:w="29" w:type="dxa"/>
        </w:trPr>
        <w:tc>
          <w:tcPr>
            <w:tcW w:w="4200" w:type="dxa"/>
            <w:gridSpan w:val="2"/>
            <w:shd w:val="clear" w:color="auto" w:fill="EEF3F9"/>
            <w:tcMar>
              <w:top w:w="60" w:type="dxa"/>
              <w:left w:w="110" w:type="dxa"/>
              <w:bottom w:w="60" w:type="dxa"/>
              <w:right w:w="110" w:type="dxa"/>
            </w:tcMar>
            <w:vAlign w:val="center"/>
          </w:tcPr>
          <w:p w14:paraId="18D75982" w14:textId="77777777" w:rsidR="00713291" w:rsidRDefault="00000000">
            <w:pPr>
              <w:spacing w:line="260" w:lineRule="auto"/>
            </w:pPr>
            <w:r>
              <w:rPr>
                <w:sz w:val="19"/>
                <w:szCs w:val="19"/>
              </w:rPr>
              <w:t>Rock-chip / grab samples</w:t>
            </w:r>
          </w:p>
        </w:tc>
        <w:tc>
          <w:tcPr>
            <w:tcW w:w="5160" w:type="dxa"/>
            <w:shd w:val="clear" w:color="auto" w:fill="EEF3F9"/>
            <w:tcMar>
              <w:top w:w="60" w:type="dxa"/>
              <w:left w:w="110" w:type="dxa"/>
              <w:bottom w:w="60" w:type="dxa"/>
              <w:right w:w="110" w:type="dxa"/>
            </w:tcMar>
            <w:vAlign w:val="center"/>
          </w:tcPr>
          <w:p w14:paraId="189189B3" w14:textId="77777777" w:rsidR="00713291" w:rsidRDefault="00000000">
            <w:pPr>
              <w:spacing w:line="260" w:lineRule="auto"/>
            </w:pPr>
            <w:r>
              <w:rPr>
                <w:sz w:val="19"/>
                <w:szCs w:val="19"/>
              </w:rPr>
              <w:t>Yes — limited, source of headline grades</w:t>
            </w:r>
          </w:p>
        </w:tc>
      </w:tr>
      <w:tr w:rsidR="00713291" w14:paraId="7DE18E2B" w14:textId="77777777">
        <w:tblPrEx>
          <w:tblCellMar>
            <w:top w:w="0" w:type="dxa"/>
            <w:bottom w:w="0" w:type="dxa"/>
          </w:tblCellMar>
        </w:tblPrEx>
        <w:trPr>
          <w:gridAfter w:val="1"/>
          <w:wAfter w:w="29" w:type="dxa"/>
        </w:trPr>
        <w:tc>
          <w:tcPr>
            <w:tcW w:w="4200" w:type="dxa"/>
            <w:gridSpan w:val="2"/>
            <w:shd w:val="clear" w:color="auto" w:fill="FFFFFF"/>
            <w:tcMar>
              <w:top w:w="60" w:type="dxa"/>
              <w:left w:w="110" w:type="dxa"/>
              <w:bottom w:w="60" w:type="dxa"/>
              <w:right w:w="110" w:type="dxa"/>
            </w:tcMar>
            <w:vAlign w:val="center"/>
          </w:tcPr>
          <w:p w14:paraId="4B9DF074" w14:textId="77777777" w:rsidR="00713291" w:rsidRDefault="00000000">
            <w:pPr>
              <w:spacing w:line="260" w:lineRule="auto"/>
            </w:pPr>
            <w:r>
              <w:rPr>
                <w:sz w:val="19"/>
                <w:szCs w:val="19"/>
              </w:rPr>
              <w:t>Channel sampling (true width)</w:t>
            </w:r>
          </w:p>
        </w:tc>
        <w:tc>
          <w:tcPr>
            <w:tcW w:w="5160" w:type="dxa"/>
            <w:shd w:val="clear" w:color="auto" w:fill="FFFFFF"/>
            <w:tcMar>
              <w:top w:w="60" w:type="dxa"/>
              <w:left w:w="110" w:type="dxa"/>
              <w:bottom w:w="60" w:type="dxa"/>
              <w:right w:w="110" w:type="dxa"/>
            </w:tcMar>
            <w:vAlign w:val="center"/>
          </w:tcPr>
          <w:p w14:paraId="051E7E57" w14:textId="77777777" w:rsidR="00713291" w:rsidRDefault="00000000">
            <w:pPr>
              <w:spacing w:line="260" w:lineRule="auto"/>
            </w:pPr>
            <w:r>
              <w:rPr>
                <w:sz w:val="19"/>
                <w:szCs w:val="19"/>
              </w:rPr>
              <w:t>None reported</w:t>
            </w:r>
          </w:p>
        </w:tc>
      </w:tr>
      <w:tr w:rsidR="00713291" w14:paraId="686A9105" w14:textId="77777777">
        <w:tblPrEx>
          <w:tblCellMar>
            <w:top w:w="0" w:type="dxa"/>
            <w:bottom w:w="0" w:type="dxa"/>
          </w:tblCellMar>
        </w:tblPrEx>
        <w:trPr>
          <w:gridAfter w:val="1"/>
          <w:wAfter w:w="29" w:type="dxa"/>
        </w:trPr>
        <w:tc>
          <w:tcPr>
            <w:tcW w:w="4200" w:type="dxa"/>
            <w:gridSpan w:val="2"/>
            <w:shd w:val="clear" w:color="auto" w:fill="EEF3F9"/>
            <w:tcMar>
              <w:top w:w="60" w:type="dxa"/>
              <w:left w:w="110" w:type="dxa"/>
              <w:bottom w:w="60" w:type="dxa"/>
              <w:right w:w="110" w:type="dxa"/>
            </w:tcMar>
            <w:vAlign w:val="center"/>
          </w:tcPr>
          <w:p w14:paraId="5117FB29" w14:textId="77777777" w:rsidR="00713291" w:rsidRDefault="00000000">
            <w:pPr>
              <w:spacing w:line="260" w:lineRule="auto"/>
            </w:pPr>
            <w:r>
              <w:rPr>
                <w:sz w:val="19"/>
                <w:szCs w:val="19"/>
              </w:rPr>
              <w:t>Geophysics (ground/airborne)</w:t>
            </w:r>
          </w:p>
        </w:tc>
        <w:tc>
          <w:tcPr>
            <w:tcW w:w="5160" w:type="dxa"/>
            <w:shd w:val="clear" w:color="auto" w:fill="EEF3F9"/>
            <w:tcMar>
              <w:top w:w="60" w:type="dxa"/>
              <w:left w:w="110" w:type="dxa"/>
              <w:bottom w:w="60" w:type="dxa"/>
              <w:right w:w="110" w:type="dxa"/>
            </w:tcMar>
            <w:vAlign w:val="center"/>
          </w:tcPr>
          <w:p w14:paraId="200B312F" w14:textId="77777777" w:rsidR="00713291" w:rsidRDefault="00000000">
            <w:pPr>
              <w:spacing w:line="260" w:lineRule="auto"/>
            </w:pPr>
            <w:r>
              <w:rPr>
                <w:sz w:val="19"/>
                <w:szCs w:val="19"/>
              </w:rPr>
              <w:t>None reported over the carbonatite</w:t>
            </w:r>
          </w:p>
        </w:tc>
      </w:tr>
      <w:tr w:rsidR="00713291" w14:paraId="2F41FC28" w14:textId="77777777">
        <w:tblPrEx>
          <w:tblCellMar>
            <w:top w:w="0" w:type="dxa"/>
            <w:bottom w:w="0" w:type="dxa"/>
          </w:tblCellMar>
        </w:tblPrEx>
        <w:trPr>
          <w:gridAfter w:val="1"/>
          <w:wAfter w:w="29" w:type="dxa"/>
        </w:trPr>
        <w:tc>
          <w:tcPr>
            <w:tcW w:w="4200" w:type="dxa"/>
            <w:gridSpan w:val="2"/>
            <w:shd w:val="clear" w:color="auto" w:fill="FFFFFF"/>
            <w:tcMar>
              <w:top w:w="60" w:type="dxa"/>
              <w:left w:w="110" w:type="dxa"/>
              <w:bottom w:w="60" w:type="dxa"/>
              <w:right w:w="110" w:type="dxa"/>
            </w:tcMar>
            <w:vAlign w:val="center"/>
          </w:tcPr>
          <w:p w14:paraId="5B4A4874" w14:textId="77777777" w:rsidR="00713291" w:rsidRDefault="00000000">
            <w:pPr>
              <w:spacing w:line="260" w:lineRule="auto"/>
            </w:pPr>
            <w:r>
              <w:rPr>
                <w:sz w:val="19"/>
                <w:szCs w:val="19"/>
              </w:rPr>
              <w:t>Drilling</w:t>
            </w:r>
          </w:p>
        </w:tc>
        <w:tc>
          <w:tcPr>
            <w:tcW w:w="5160" w:type="dxa"/>
            <w:shd w:val="clear" w:color="auto" w:fill="FFFFFF"/>
            <w:tcMar>
              <w:top w:w="60" w:type="dxa"/>
              <w:left w:w="110" w:type="dxa"/>
              <w:bottom w:w="60" w:type="dxa"/>
              <w:right w:w="110" w:type="dxa"/>
            </w:tcMar>
            <w:vAlign w:val="center"/>
          </w:tcPr>
          <w:p w14:paraId="4BCA6999" w14:textId="77777777" w:rsidR="00713291" w:rsidRDefault="00000000">
            <w:pPr>
              <w:spacing w:line="260" w:lineRule="auto"/>
            </w:pPr>
            <w:r>
              <w:rPr>
                <w:sz w:val="19"/>
                <w:szCs w:val="19"/>
              </w:rPr>
              <w:t>None</w:t>
            </w:r>
          </w:p>
        </w:tc>
      </w:tr>
      <w:tr w:rsidR="00713291" w14:paraId="64C9044A" w14:textId="77777777">
        <w:tblPrEx>
          <w:tblCellMar>
            <w:top w:w="0" w:type="dxa"/>
            <w:bottom w:w="0" w:type="dxa"/>
          </w:tblCellMar>
        </w:tblPrEx>
        <w:trPr>
          <w:gridAfter w:val="1"/>
          <w:wAfter w:w="29" w:type="dxa"/>
        </w:trPr>
        <w:tc>
          <w:tcPr>
            <w:tcW w:w="4200" w:type="dxa"/>
            <w:gridSpan w:val="2"/>
            <w:shd w:val="clear" w:color="auto" w:fill="EEF3F9"/>
            <w:tcMar>
              <w:top w:w="60" w:type="dxa"/>
              <w:left w:w="110" w:type="dxa"/>
              <w:bottom w:w="60" w:type="dxa"/>
              <w:right w:w="110" w:type="dxa"/>
            </w:tcMar>
            <w:vAlign w:val="center"/>
          </w:tcPr>
          <w:p w14:paraId="117361C0" w14:textId="77777777" w:rsidR="00713291" w:rsidRDefault="00000000">
            <w:pPr>
              <w:spacing w:line="260" w:lineRule="auto"/>
            </w:pPr>
            <w:r>
              <w:rPr>
                <w:sz w:val="19"/>
                <w:szCs w:val="19"/>
              </w:rPr>
              <w:t>Mineral Resource estimate</w:t>
            </w:r>
          </w:p>
        </w:tc>
        <w:tc>
          <w:tcPr>
            <w:tcW w:w="5160" w:type="dxa"/>
            <w:shd w:val="clear" w:color="auto" w:fill="EEF3F9"/>
            <w:tcMar>
              <w:top w:w="60" w:type="dxa"/>
              <w:left w:w="110" w:type="dxa"/>
              <w:bottom w:w="60" w:type="dxa"/>
              <w:right w:w="110" w:type="dxa"/>
            </w:tcMar>
            <w:vAlign w:val="center"/>
          </w:tcPr>
          <w:p w14:paraId="1279C6B7" w14:textId="77777777" w:rsidR="00713291" w:rsidRDefault="00000000">
            <w:pPr>
              <w:spacing w:line="260" w:lineRule="auto"/>
            </w:pPr>
            <w:r>
              <w:rPr>
                <w:sz w:val="19"/>
                <w:szCs w:val="19"/>
              </w:rPr>
              <w:t>None</w:t>
            </w:r>
          </w:p>
        </w:tc>
      </w:tr>
      <w:tr w:rsidR="00713291" w14:paraId="347C7F3B" w14:textId="77777777">
        <w:tblPrEx>
          <w:tblCellMar>
            <w:top w:w="0" w:type="dxa"/>
            <w:bottom w:w="0" w:type="dxa"/>
          </w:tblCellMar>
        </w:tblPrEx>
        <w:trPr>
          <w:gridAfter w:val="1"/>
          <w:wAfter w:w="29" w:type="dxa"/>
        </w:trPr>
        <w:tc>
          <w:tcPr>
            <w:tcW w:w="4200" w:type="dxa"/>
            <w:gridSpan w:val="2"/>
            <w:shd w:val="clear" w:color="auto" w:fill="FFFFFF"/>
            <w:tcMar>
              <w:top w:w="60" w:type="dxa"/>
              <w:left w:w="110" w:type="dxa"/>
              <w:bottom w:w="60" w:type="dxa"/>
              <w:right w:w="110" w:type="dxa"/>
            </w:tcMar>
            <w:vAlign w:val="center"/>
          </w:tcPr>
          <w:p w14:paraId="0EB6725D" w14:textId="77777777" w:rsidR="00713291" w:rsidRDefault="00000000">
            <w:pPr>
              <w:spacing w:line="260" w:lineRule="auto"/>
            </w:pPr>
            <w:r>
              <w:rPr>
                <w:sz w:val="19"/>
                <w:szCs w:val="19"/>
              </w:rPr>
              <w:t>Metallurgical test work</w:t>
            </w:r>
          </w:p>
        </w:tc>
        <w:tc>
          <w:tcPr>
            <w:tcW w:w="5160" w:type="dxa"/>
            <w:shd w:val="clear" w:color="auto" w:fill="FFFFFF"/>
            <w:tcMar>
              <w:top w:w="60" w:type="dxa"/>
              <w:left w:w="110" w:type="dxa"/>
              <w:bottom w:w="60" w:type="dxa"/>
              <w:right w:w="110" w:type="dxa"/>
            </w:tcMar>
            <w:vAlign w:val="center"/>
          </w:tcPr>
          <w:p w14:paraId="084E0758" w14:textId="77777777" w:rsidR="00713291" w:rsidRDefault="00000000">
            <w:pPr>
              <w:spacing w:line="260" w:lineRule="auto"/>
            </w:pPr>
            <w:r>
              <w:rPr>
                <w:sz w:val="19"/>
                <w:szCs w:val="19"/>
              </w:rPr>
              <w:t>None</w:t>
            </w:r>
          </w:p>
        </w:tc>
      </w:tr>
      <w:tr w:rsidR="00713291" w14:paraId="55A0A13F" w14:textId="77777777">
        <w:tblPrEx>
          <w:tblCellMar>
            <w:top w:w="0" w:type="dxa"/>
            <w:bottom w:w="0" w:type="dxa"/>
          </w:tblCellMar>
        </w:tblPrEx>
        <w:trPr>
          <w:gridAfter w:val="1"/>
          <w:wAfter w:w="29" w:type="dxa"/>
        </w:trPr>
        <w:tc>
          <w:tcPr>
            <w:tcW w:w="4200" w:type="dxa"/>
            <w:gridSpan w:val="2"/>
            <w:shd w:val="clear" w:color="auto" w:fill="EEF3F9"/>
            <w:tcMar>
              <w:top w:w="60" w:type="dxa"/>
              <w:left w:w="110" w:type="dxa"/>
              <w:bottom w:w="60" w:type="dxa"/>
              <w:right w:w="110" w:type="dxa"/>
            </w:tcMar>
            <w:vAlign w:val="center"/>
          </w:tcPr>
          <w:p w14:paraId="2729C01E" w14:textId="77777777" w:rsidR="00713291" w:rsidRDefault="00000000">
            <w:pPr>
              <w:spacing w:line="260" w:lineRule="auto"/>
            </w:pPr>
            <w:r>
              <w:rPr>
                <w:sz w:val="19"/>
                <w:szCs w:val="19"/>
              </w:rPr>
              <w:t>Defined size / continuity</w:t>
            </w:r>
          </w:p>
        </w:tc>
        <w:tc>
          <w:tcPr>
            <w:tcW w:w="5160" w:type="dxa"/>
            <w:shd w:val="clear" w:color="auto" w:fill="EEF3F9"/>
            <w:tcMar>
              <w:top w:w="60" w:type="dxa"/>
              <w:left w:w="110" w:type="dxa"/>
              <w:bottom w:w="60" w:type="dxa"/>
              <w:right w:w="110" w:type="dxa"/>
            </w:tcMar>
            <w:vAlign w:val="center"/>
          </w:tcPr>
          <w:p w14:paraId="07BC15E5" w14:textId="77777777" w:rsidR="00713291" w:rsidRDefault="00000000">
            <w:pPr>
              <w:spacing w:line="260" w:lineRule="auto"/>
            </w:pPr>
            <w:r>
              <w:rPr>
                <w:sz w:val="19"/>
                <w:szCs w:val="19"/>
              </w:rPr>
              <w:t>Unknown — single dyke, dimensions unconstrained</w:t>
            </w:r>
          </w:p>
        </w:tc>
      </w:tr>
      <w:tr w:rsidR="00713291" w14:paraId="511893FA" w14:textId="77777777">
        <w:tblPrEx>
          <w:tblCellMar>
            <w:top w:w="0" w:type="dxa"/>
            <w:bottom w:w="0" w:type="dxa"/>
          </w:tblCellMar>
        </w:tblPrEx>
        <w:trPr>
          <w:gridAfter w:val="1"/>
          <w:wAfter w:w="29" w:type="dxa"/>
        </w:trPr>
        <w:tc>
          <w:tcPr>
            <w:tcW w:w="4200" w:type="dxa"/>
            <w:gridSpan w:val="2"/>
            <w:shd w:val="clear" w:color="auto" w:fill="FFFFFF"/>
            <w:tcMar>
              <w:top w:w="60" w:type="dxa"/>
              <w:left w:w="110" w:type="dxa"/>
              <w:bottom w:w="60" w:type="dxa"/>
              <w:right w:w="110" w:type="dxa"/>
            </w:tcMar>
            <w:vAlign w:val="center"/>
          </w:tcPr>
          <w:p w14:paraId="0E56CA6D" w14:textId="77777777" w:rsidR="00713291" w:rsidRDefault="00000000">
            <w:pPr>
              <w:spacing w:line="260" w:lineRule="auto"/>
            </w:pPr>
            <w:r>
              <w:rPr>
                <w:sz w:val="19"/>
                <w:szCs w:val="19"/>
              </w:rPr>
              <w:t>Mineral tenure confirmed</w:t>
            </w:r>
          </w:p>
        </w:tc>
        <w:tc>
          <w:tcPr>
            <w:tcW w:w="5160" w:type="dxa"/>
            <w:shd w:val="clear" w:color="auto" w:fill="FFFFFF"/>
            <w:tcMar>
              <w:top w:w="60" w:type="dxa"/>
              <w:left w:w="110" w:type="dxa"/>
              <w:bottom w:w="60" w:type="dxa"/>
              <w:right w:w="110" w:type="dxa"/>
            </w:tcMar>
            <w:vAlign w:val="center"/>
          </w:tcPr>
          <w:p w14:paraId="32A07796" w14:textId="77777777" w:rsidR="00713291" w:rsidRDefault="00000000">
            <w:pPr>
              <w:spacing w:line="260" w:lineRule="auto"/>
            </w:pPr>
            <w:r>
              <w:rPr>
                <w:sz w:val="19"/>
                <w:szCs w:val="19"/>
              </w:rPr>
              <w:t>Not verified by Agricola — priority item</w:t>
            </w:r>
          </w:p>
        </w:tc>
      </w:tr>
      <w:tr w:rsidR="00713291" w14:paraId="072CDCD6" w14:textId="77777777">
        <w:tblPrEx>
          <w:tblCellMar>
            <w:top w:w="0" w:type="dxa"/>
            <w:bottom w:w="0" w:type="dxa"/>
          </w:tblCellMar>
        </w:tblPrEx>
        <w:trPr>
          <w:gridAfter w:val="1"/>
          <w:wAfter w:w="29" w:type="dxa"/>
        </w:trPr>
        <w:tc>
          <w:tcPr>
            <w:tcW w:w="4200" w:type="dxa"/>
            <w:gridSpan w:val="2"/>
            <w:shd w:val="clear" w:color="auto" w:fill="EEF3F9"/>
            <w:tcMar>
              <w:top w:w="60" w:type="dxa"/>
              <w:left w:w="110" w:type="dxa"/>
              <w:bottom w:w="60" w:type="dxa"/>
              <w:right w:w="110" w:type="dxa"/>
            </w:tcMar>
            <w:vAlign w:val="center"/>
          </w:tcPr>
          <w:p w14:paraId="36F1B989" w14:textId="77777777" w:rsidR="00713291" w:rsidRDefault="00000000">
            <w:pPr>
              <w:spacing w:line="260" w:lineRule="auto"/>
            </w:pPr>
            <w:r>
              <w:rPr>
                <w:sz w:val="19"/>
                <w:szCs w:val="19"/>
              </w:rPr>
              <w:t>Environmental / social baseline</w:t>
            </w:r>
          </w:p>
        </w:tc>
        <w:tc>
          <w:tcPr>
            <w:tcW w:w="5160" w:type="dxa"/>
            <w:shd w:val="clear" w:color="auto" w:fill="EEF3F9"/>
            <w:tcMar>
              <w:top w:w="60" w:type="dxa"/>
              <w:left w:w="110" w:type="dxa"/>
              <w:bottom w:w="60" w:type="dxa"/>
              <w:right w:w="110" w:type="dxa"/>
            </w:tcMar>
            <w:vAlign w:val="center"/>
          </w:tcPr>
          <w:p w14:paraId="72677CD5" w14:textId="77777777" w:rsidR="00713291" w:rsidRDefault="00000000">
            <w:pPr>
              <w:spacing w:line="260" w:lineRule="auto"/>
            </w:pPr>
            <w:r>
              <w:rPr>
                <w:sz w:val="19"/>
                <w:szCs w:val="19"/>
              </w:rPr>
              <w:t>None</w:t>
            </w:r>
          </w:p>
        </w:tc>
      </w:tr>
      <w:tr w:rsidR="00713291" w14:paraId="0DDDA120" w14:textId="77777777">
        <w:tblPrEx>
          <w:tblBorders>
            <w:top w:val="single" w:sz="2" w:space="0" w:color="C98A00"/>
            <w:left w:val="single" w:sz="24" w:space="0" w:color="C98A00"/>
            <w:bottom w:val="single" w:sz="2" w:space="0" w:color="C98A00"/>
            <w:right w:val="single" w:sz="2" w:space="0" w:color="C98A00"/>
            <w:insideH w:val="single" w:sz="4" w:space="0" w:color="auto"/>
            <w:insideV w:val="single" w:sz="4" w:space="0" w:color="auto"/>
          </w:tblBorders>
          <w:tblCellMar>
            <w:top w:w="0" w:type="dxa"/>
            <w:bottom w:w="0" w:type="dxa"/>
          </w:tblCellMar>
        </w:tblPrEx>
        <w:trPr>
          <w:gridBefore w:val="1"/>
          <w:wBefore w:w="29" w:type="dxa"/>
        </w:trPr>
        <w:tc>
          <w:tcPr>
            <w:tcW w:w="9360" w:type="dxa"/>
            <w:gridSpan w:val="3"/>
            <w:shd w:val="clear" w:color="auto" w:fill="FCEFD2"/>
            <w:tcMar>
              <w:top w:w="140" w:type="dxa"/>
              <w:left w:w="200" w:type="dxa"/>
              <w:bottom w:w="140" w:type="dxa"/>
              <w:right w:w="160" w:type="dxa"/>
            </w:tcMar>
          </w:tcPr>
          <w:p w14:paraId="5F20AEF8" w14:textId="77777777" w:rsidR="00713291" w:rsidRDefault="00000000">
            <w:pPr>
              <w:spacing w:after="80"/>
            </w:pPr>
            <w:r>
              <w:rPr>
                <w:b/>
                <w:bCs/>
                <w:color w:val="C98A00"/>
                <w:sz w:val="22"/>
                <w:szCs w:val="22"/>
              </w:rPr>
              <w:t>Tenure is the first question, not the last</w:t>
            </w:r>
          </w:p>
          <w:p w14:paraId="03E546E6" w14:textId="77777777" w:rsidR="00713291" w:rsidRDefault="00000000">
            <w:pPr>
              <w:spacing w:line="268" w:lineRule="auto"/>
              <w:jc w:val="both"/>
            </w:pPr>
            <w:r>
              <w:t xml:space="preserve">Before any technical money is committed, the mineral-rights position over the carbonatite occurrence on </w:t>
            </w:r>
            <w:proofErr w:type="spellStart"/>
            <w:r>
              <w:t>Uperniviarsuk</w:t>
            </w:r>
            <w:proofErr w:type="spellEnd"/>
            <w:r>
              <w:t xml:space="preserve"> must be established: is there a current exploration licence, who holds it, what is its status and term, and is the ground available? A high-grade discovery on ground you cannot secure is an academic curiosity, not an asset. Agricola recommends tenure verification through the Greenland Mineral Resources Authority (MRA) as the single highest-priority due-diligence action.</w:t>
            </w:r>
          </w:p>
        </w:tc>
      </w:tr>
    </w:tbl>
    <w:p w14:paraId="0A7B0B9D" w14:textId="77777777" w:rsidR="00713291" w:rsidRDefault="00000000">
      <w:pPr>
        <w:pStyle w:val="Heading1"/>
      </w:pPr>
      <w:r>
        <w:t>7. Context: Greenland REE Comparables</w:t>
      </w:r>
    </w:p>
    <w:p w14:paraId="2D794859" w14:textId="77777777" w:rsidR="00713291" w:rsidRDefault="00000000">
      <w:pPr>
        <w:spacing w:after="140" w:line="276" w:lineRule="auto"/>
        <w:jc w:val="both"/>
      </w:pPr>
      <w:r>
        <w:t>Attu should be read against the established Greenland REE landscape, which helps calibrate both the upside and the development timeline. The southern Gardar province hosts the two best-known projects; a carbonatite-sourced REE system has also been described further north at Karrat.</w:t>
      </w: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1900"/>
        <w:gridCol w:w="3700"/>
        <w:gridCol w:w="3760"/>
      </w:tblGrid>
      <w:tr w:rsidR="00713291" w14:paraId="60B68AB5" w14:textId="77777777">
        <w:tblPrEx>
          <w:tblCellMar>
            <w:top w:w="0" w:type="dxa"/>
            <w:bottom w:w="0" w:type="dxa"/>
          </w:tblCellMar>
        </w:tblPrEx>
        <w:trPr>
          <w:tblHeader/>
        </w:trPr>
        <w:tc>
          <w:tcPr>
            <w:tcW w:w="1900" w:type="dxa"/>
            <w:shd w:val="clear" w:color="auto" w:fill="1B3A5C"/>
            <w:tcMar>
              <w:top w:w="70" w:type="dxa"/>
              <w:left w:w="110" w:type="dxa"/>
              <w:bottom w:w="70" w:type="dxa"/>
              <w:right w:w="110" w:type="dxa"/>
            </w:tcMar>
            <w:vAlign w:val="center"/>
          </w:tcPr>
          <w:p w14:paraId="20D94EA8" w14:textId="77777777" w:rsidR="00713291" w:rsidRDefault="00000000">
            <w:r>
              <w:rPr>
                <w:b/>
                <w:bCs/>
                <w:color w:val="FFFFFF"/>
                <w:sz w:val="19"/>
                <w:szCs w:val="19"/>
              </w:rPr>
              <w:lastRenderedPageBreak/>
              <w:t>Project</w:t>
            </w:r>
          </w:p>
        </w:tc>
        <w:tc>
          <w:tcPr>
            <w:tcW w:w="3700" w:type="dxa"/>
            <w:shd w:val="clear" w:color="auto" w:fill="1B3A5C"/>
            <w:tcMar>
              <w:top w:w="70" w:type="dxa"/>
              <w:left w:w="110" w:type="dxa"/>
              <w:bottom w:w="70" w:type="dxa"/>
              <w:right w:w="110" w:type="dxa"/>
            </w:tcMar>
            <w:vAlign w:val="center"/>
          </w:tcPr>
          <w:p w14:paraId="4BAB5215" w14:textId="77777777" w:rsidR="00713291" w:rsidRDefault="00000000">
            <w:r>
              <w:rPr>
                <w:b/>
                <w:bCs/>
                <w:color w:val="FFFFFF"/>
                <w:sz w:val="19"/>
                <w:szCs w:val="19"/>
              </w:rPr>
              <w:t>Style / owner</w:t>
            </w:r>
          </w:p>
        </w:tc>
        <w:tc>
          <w:tcPr>
            <w:tcW w:w="3760" w:type="dxa"/>
            <w:shd w:val="clear" w:color="auto" w:fill="1B3A5C"/>
            <w:tcMar>
              <w:top w:w="70" w:type="dxa"/>
              <w:left w:w="110" w:type="dxa"/>
              <w:bottom w:w="70" w:type="dxa"/>
              <w:right w:w="110" w:type="dxa"/>
            </w:tcMar>
            <w:vAlign w:val="center"/>
          </w:tcPr>
          <w:p w14:paraId="0678BB4F" w14:textId="77777777" w:rsidR="00713291" w:rsidRDefault="00000000">
            <w:r>
              <w:rPr>
                <w:b/>
                <w:bCs/>
                <w:color w:val="FFFFFF"/>
                <w:sz w:val="19"/>
                <w:szCs w:val="19"/>
              </w:rPr>
              <w:t>Stage / relevance to Attu</w:t>
            </w:r>
          </w:p>
        </w:tc>
      </w:tr>
      <w:tr w:rsidR="00713291" w14:paraId="033333C9" w14:textId="77777777">
        <w:tblPrEx>
          <w:tblCellMar>
            <w:top w:w="0" w:type="dxa"/>
            <w:bottom w:w="0" w:type="dxa"/>
          </w:tblCellMar>
        </w:tblPrEx>
        <w:tc>
          <w:tcPr>
            <w:tcW w:w="1900" w:type="dxa"/>
            <w:shd w:val="clear" w:color="auto" w:fill="FFFFFF"/>
            <w:tcMar>
              <w:top w:w="60" w:type="dxa"/>
              <w:left w:w="110" w:type="dxa"/>
              <w:bottom w:w="60" w:type="dxa"/>
              <w:right w:w="110" w:type="dxa"/>
            </w:tcMar>
            <w:vAlign w:val="center"/>
          </w:tcPr>
          <w:p w14:paraId="55F426C2" w14:textId="77777777" w:rsidR="00713291" w:rsidRDefault="00000000">
            <w:pPr>
              <w:spacing w:line="260" w:lineRule="auto"/>
            </w:pPr>
            <w:r>
              <w:rPr>
                <w:sz w:val="19"/>
                <w:szCs w:val="19"/>
              </w:rPr>
              <w:t>Tanbreez</w:t>
            </w:r>
          </w:p>
        </w:tc>
        <w:tc>
          <w:tcPr>
            <w:tcW w:w="3700" w:type="dxa"/>
            <w:shd w:val="clear" w:color="auto" w:fill="FFFFFF"/>
            <w:tcMar>
              <w:top w:w="60" w:type="dxa"/>
              <w:left w:w="110" w:type="dxa"/>
              <w:bottom w:w="60" w:type="dxa"/>
              <w:right w:w="110" w:type="dxa"/>
            </w:tcMar>
            <w:vAlign w:val="center"/>
          </w:tcPr>
          <w:p w14:paraId="127FB4A0" w14:textId="77777777" w:rsidR="00713291" w:rsidRDefault="00000000">
            <w:pPr>
              <w:spacing w:line="260" w:lineRule="auto"/>
            </w:pPr>
            <w:r>
              <w:rPr>
                <w:sz w:val="19"/>
                <w:szCs w:val="19"/>
              </w:rPr>
              <w:t>Eudialyte (silicate) REE — Critical Metals Corp (NASDAQ)</w:t>
            </w:r>
          </w:p>
        </w:tc>
        <w:tc>
          <w:tcPr>
            <w:tcW w:w="3760" w:type="dxa"/>
            <w:shd w:val="clear" w:color="auto" w:fill="FFFFFF"/>
            <w:tcMar>
              <w:top w:w="60" w:type="dxa"/>
              <w:left w:w="110" w:type="dxa"/>
              <w:bottom w:w="60" w:type="dxa"/>
              <w:right w:w="110" w:type="dxa"/>
            </w:tcMar>
            <w:vAlign w:val="center"/>
          </w:tcPr>
          <w:p w14:paraId="484110ED" w14:textId="77777777" w:rsidR="00713291" w:rsidRDefault="00000000">
            <w:pPr>
              <w:spacing w:line="260" w:lineRule="auto"/>
            </w:pPr>
            <w:r>
              <w:rPr>
                <w:sz w:val="19"/>
                <w:szCs w:val="19"/>
              </w:rPr>
              <w:t>Advanced; large tonnage, lower grade; under US strategic focus</w:t>
            </w:r>
          </w:p>
        </w:tc>
      </w:tr>
      <w:tr w:rsidR="00713291" w14:paraId="130C76B8" w14:textId="77777777">
        <w:tblPrEx>
          <w:tblCellMar>
            <w:top w:w="0" w:type="dxa"/>
            <w:bottom w:w="0" w:type="dxa"/>
          </w:tblCellMar>
        </w:tblPrEx>
        <w:tc>
          <w:tcPr>
            <w:tcW w:w="1900" w:type="dxa"/>
            <w:shd w:val="clear" w:color="auto" w:fill="EEF3F9"/>
            <w:tcMar>
              <w:top w:w="60" w:type="dxa"/>
              <w:left w:w="110" w:type="dxa"/>
              <w:bottom w:w="60" w:type="dxa"/>
              <w:right w:w="110" w:type="dxa"/>
            </w:tcMar>
            <w:vAlign w:val="center"/>
          </w:tcPr>
          <w:p w14:paraId="5E5657C5" w14:textId="77777777" w:rsidR="00713291" w:rsidRDefault="00000000">
            <w:pPr>
              <w:spacing w:line="260" w:lineRule="auto"/>
            </w:pPr>
            <w:r>
              <w:rPr>
                <w:sz w:val="19"/>
                <w:szCs w:val="19"/>
              </w:rPr>
              <w:t>Kvanefjeld</w:t>
            </w:r>
          </w:p>
        </w:tc>
        <w:tc>
          <w:tcPr>
            <w:tcW w:w="3700" w:type="dxa"/>
            <w:shd w:val="clear" w:color="auto" w:fill="EEF3F9"/>
            <w:tcMar>
              <w:top w:w="60" w:type="dxa"/>
              <w:left w:w="110" w:type="dxa"/>
              <w:bottom w:w="60" w:type="dxa"/>
              <w:right w:w="110" w:type="dxa"/>
            </w:tcMar>
            <w:vAlign w:val="center"/>
          </w:tcPr>
          <w:p w14:paraId="317211C9" w14:textId="77777777" w:rsidR="00713291" w:rsidRDefault="00000000">
            <w:pPr>
              <w:spacing w:line="260" w:lineRule="auto"/>
            </w:pPr>
            <w:r>
              <w:rPr>
                <w:sz w:val="19"/>
                <w:szCs w:val="19"/>
              </w:rPr>
              <w:t>Multi-element REE–U–Zn — Energy Transition Minerals (ASX)</w:t>
            </w:r>
          </w:p>
        </w:tc>
        <w:tc>
          <w:tcPr>
            <w:tcW w:w="3760" w:type="dxa"/>
            <w:shd w:val="clear" w:color="auto" w:fill="EEF3F9"/>
            <w:tcMar>
              <w:top w:w="60" w:type="dxa"/>
              <w:left w:w="110" w:type="dxa"/>
              <w:bottom w:w="60" w:type="dxa"/>
              <w:right w:w="110" w:type="dxa"/>
            </w:tcMar>
            <w:vAlign w:val="center"/>
          </w:tcPr>
          <w:p w14:paraId="0021281C" w14:textId="77777777" w:rsidR="00713291" w:rsidRDefault="00000000">
            <w:pPr>
              <w:spacing w:line="260" w:lineRule="auto"/>
            </w:pPr>
            <w:r>
              <w:rPr>
                <w:sz w:val="19"/>
                <w:szCs w:val="19"/>
              </w:rPr>
              <w:t>Very large; stalled on uranium/permitting and legal disputes</w:t>
            </w:r>
          </w:p>
        </w:tc>
      </w:tr>
      <w:tr w:rsidR="00713291" w14:paraId="009BF160" w14:textId="77777777">
        <w:tblPrEx>
          <w:tblCellMar>
            <w:top w:w="0" w:type="dxa"/>
            <w:bottom w:w="0" w:type="dxa"/>
          </w:tblCellMar>
        </w:tblPrEx>
        <w:tc>
          <w:tcPr>
            <w:tcW w:w="1900" w:type="dxa"/>
            <w:shd w:val="clear" w:color="auto" w:fill="FFFFFF"/>
            <w:tcMar>
              <w:top w:w="60" w:type="dxa"/>
              <w:left w:w="110" w:type="dxa"/>
              <w:bottom w:w="60" w:type="dxa"/>
              <w:right w:w="110" w:type="dxa"/>
            </w:tcMar>
            <w:vAlign w:val="center"/>
          </w:tcPr>
          <w:p w14:paraId="60331B54" w14:textId="77777777" w:rsidR="00713291" w:rsidRDefault="00000000">
            <w:pPr>
              <w:spacing w:line="260" w:lineRule="auto"/>
            </w:pPr>
            <w:r>
              <w:rPr>
                <w:sz w:val="19"/>
                <w:szCs w:val="19"/>
              </w:rPr>
              <w:t xml:space="preserve">Karrat </w:t>
            </w:r>
            <w:proofErr w:type="spellStart"/>
            <w:r>
              <w:rPr>
                <w:sz w:val="19"/>
                <w:szCs w:val="19"/>
              </w:rPr>
              <w:t>Isfjord</w:t>
            </w:r>
            <w:proofErr w:type="spellEnd"/>
          </w:p>
        </w:tc>
        <w:tc>
          <w:tcPr>
            <w:tcW w:w="3700" w:type="dxa"/>
            <w:shd w:val="clear" w:color="auto" w:fill="FFFFFF"/>
            <w:tcMar>
              <w:top w:w="60" w:type="dxa"/>
              <w:left w:w="110" w:type="dxa"/>
              <w:bottom w:w="60" w:type="dxa"/>
              <w:right w:w="110" w:type="dxa"/>
            </w:tcMar>
            <w:vAlign w:val="center"/>
          </w:tcPr>
          <w:p w14:paraId="23AC4D59" w14:textId="77777777" w:rsidR="00713291" w:rsidRDefault="00000000">
            <w:pPr>
              <w:spacing w:line="260" w:lineRule="auto"/>
            </w:pPr>
            <w:r>
              <w:rPr>
                <w:sz w:val="19"/>
                <w:szCs w:val="19"/>
              </w:rPr>
              <w:t>Carbonatite-sourced REE (Mott et al., 2013)</w:t>
            </w:r>
          </w:p>
        </w:tc>
        <w:tc>
          <w:tcPr>
            <w:tcW w:w="3760" w:type="dxa"/>
            <w:shd w:val="clear" w:color="auto" w:fill="FFFFFF"/>
            <w:tcMar>
              <w:top w:w="60" w:type="dxa"/>
              <w:left w:w="110" w:type="dxa"/>
              <w:bottom w:w="60" w:type="dxa"/>
              <w:right w:w="110" w:type="dxa"/>
            </w:tcMar>
            <w:vAlign w:val="center"/>
          </w:tcPr>
          <w:p w14:paraId="24202799" w14:textId="77777777" w:rsidR="00713291" w:rsidRDefault="00000000">
            <w:pPr>
              <w:spacing w:line="260" w:lineRule="auto"/>
            </w:pPr>
            <w:r>
              <w:rPr>
                <w:sz w:val="19"/>
                <w:szCs w:val="19"/>
              </w:rPr>
              <w:t>Nearest carbonatite analogue in West Greenland</w:t>
            </w:r>
          </w:p>
        </w:tc>
      </w:tr>
      <w:tr w:rsidR="00713291" w14:paraId="269AB1EB" w14:textId="77777777">
        <w:tblPrEx>
          <w:tblCellMar>
            <w:top w:w="0" w:type="dxa"/>
            <w:bottom w:w="0" w:type="dxa"/>
          </w:tblCellMar>
        </w:tblPrEx>
        <w:tc>
          <w:tcPr>
            <w:tcW w:w="1900" w:type="dxa"/>
            <w:shd w:val="clear" w:color="auto" w:fill="EEF3F9"/>
            <w:tcMar>
              <w:top w:w="60" w:type="dxa"/>
              <w:left w:w="110" w:type="dxa"/>
              <w:bottom w:w="60" w:type="dxa"/>
              <w:right w:w="110" w:type="dxa"/>
            </w:tcMar>
            <w:vAlign w:val="center"/>
          </w:tcPr>
          <w:p w14:paraId="7987ACB7" w14:textId="77777777" w:rsidR="00713291" w:rsidRDefault="00000000">
            <w:pPr>
              <w:spacing w:line="260" w:lineRule="auto"/>
            </w:pPr>
            <w:r>
              <w:rPr>
                <w:sz w:val="19"/>
                <w:szCs w:val="19"/>
              </w:rPr>
              <w:t>Attu carbonatite</w:t>
            </w:r>
          </w:p>
        </w:tc>
        <w:tc>
          <w:tcPr>
            <w:tcW w:w="3700" w:type="dxa"/>
            <w:shd w:val="clear" w:color="auto" w:fill="EEF3F9"/>
            <w:tcMar>
              <w:top w:w="60" w:type="dxa"/>
              <w:left w:w="110" w:type="dxa"/>
              <w:bottom w:w="60" w:type="dxa"/>
              <w:right w:w="110" w:type="dxa"/>
            </w:tcMar>
            <w:vAlign w:val="center"/>
          </w:tcPr>
          <w:p w14:paraId="64F9D533" w14:textId="77777777" w:rsidR="00713291" w:rsidRDefault="00000000">
            <w:pPr>
              <w:spacing w:line="260" w:lineRule="auto"/>
            </w:pPr>
            <w:r>
              <w:rPr>
                <w:sz w:val="19"/>
                <w:szCs w:val="19"/>
              </w:rPr>
              <w:t>High-grade primary carbonatite REE–Sr–Ba</w:t>
            </w:r>
          </w:p>
        </w:tc>
        <w:tc>
          <w:tcPr>
            <w:tcW w:w="3760" w:type="dxa"/>
            <w:shd w:val="clear" w:color="auto" w:fill="EEF3F9"/>
            <w:tcMar>
              <w:top w:w="60" w:type="dxa"/>
              <w:left w:w="110" w:type="dxa"/>
              <w:bottom w:w="60" w:type="dxa"/>
              <w:right w:w="110" w:type="dxa"/>
            </w:tcMar>
            <w:vAlign w:val="center"/>
          </w:tcPr>
          <w:p w14:paraId="5F750055" w14:textId="77777777" w:rsidR="00713291" w:rsidRDefault="00000000">
            <w:pPr>
              <w:spacing w:line="260" w:lineRule="auto"/>
            </w:pPr>
            <w:r>
              <w:rPr>
                <w:sz w:val="19"/>
                <w:szCs w:val="19"/>
              </w:rPr>
              <w:t>Grassroots; far higher tenor, far less proven</w:t>
            </w:r>
          </w:p>
        </w:tc>
      </w:tr>
    </w:tbl>
    <w:p w14:paraId="17A85393" w14:textId="77777777" w:rsidR="00713291" w:rsidRDefault="00000000">
      <w:pPr>
        <w:spacing w:after="140" w:line="276" w:lineRule="auto"/>
        <w:jc w:val="both"/>
      </w:pPr>
      <w:r>
        <w:t xml:space="preserve">The contrast is instructive. The flagship Greenland projects are </w:t>
      </w:r>
      <w:r>
        <w:rPr>
          <w:b/>
          <w:bCs/>
        </w:rPr>
        <w:t>large but low-grade and silicate-hosted</w:t>
      </w:r>
      <w:r>
        <w:t xml:space="preserve">, with long, contested permitting histories. Attu is the inverse: potentially </w:t>
      </w:r>
      <w:r>
        <w:rPr>
          <w:b/>
          <w:bCs/>
        </w:rPr>
        <w:t>very high grade with a more tractable mineralogy, but with essentially nothing proven</w:t>
      </w:r>
      <w:r>
        <w:t>. Its appeal is grade and mineralogy; its gap is everything downstream of the outcrop.</w:t>
      </w:r>
    </w:p>
    <w:p w14:paraId="2F9AE1A8" w14:textId="77777777" w:rsidR="00713291" w:rsidRDefault="00000000">
      <w:pPr>
        <w:pStyle w:val="Heading1"/>
      </w:pPr>
      <w:r>
        <w:t>8. Strategic and Market Context</w:t>
      </w:r>
    </w:p>
    <w:p w14:paraId="63CFA6CC" w14:textId="77777777" w:rsidR="00713291" w:rsidRDefault="00000000">
      <w:pPr>
        <w:spacing w:after="140" w:line="276" w:lineRule="auto"/>
        <w:jc w:val="both"/>
      </w:pPr>
      <w:r>
        <w:t xml:space="preserve">Investor interest in Greenland critical minerals rose sharply through 2025 and into 2026, driven by renewed United States strategic attention to the island and by Western efforts to reduce dependence on Chinese rare earth supply. China continues to dominate global REE production and, critically, downstream processing. Reported developments through this period include heightened US engagement with Greenland mining companies, EU designation of Greenland projects (such as the </w:t>
      </w:r>
      <w:proofErr w:type="spellStart"/>
      <w:r>
        <w:t>Amitsoq</w:t>
      </w:r>
      <w:proofErr w:type="spellEnd"/>
      <w:r>
        <w:t xml:space="preserve"> graphite project) under its Critical Raw Materials Act, and a 30-year exploitation licence granted for </w:t>
      </w:r>
      <w:proofErr w:type="spellStart"/>
      <w:r>
        <w:t>Amitsoq</w:t>
      </w:r>
      <w:proofErr w:type="spellEnd"/>
      <w:r>
        <w:t xml:space="preserve"> in December 2025.</w:t>
      </w:r>
    </w:p>
    <w:p w14:paraId="303EC5DD" w14:textId="77777777" w:rsidR="00713291" w:rsidRDefault="00000000">
      <w:pPr>
        <w:spacing w:after="140" w:line="276" w:lineRule="auto"/>
        <w:jc w:val="both"/>
      </w:pPr>
      <w:r>
        <w:t>This macro tailwind is real and helps the financing narrative. It does not, however, change the geology or the development clock. Independent commentary through early 2026 has been consistent on three structural hurdles that any Greenland REE asset — Attu included — must confront:</w:t>
      </w:r>
    </w:p>
    <w:p w14:paraId="73397C62" w14:textId="77777777" w:rsidR="00713291" w:rsidRDefault="00000000">
      <w:pPr>
        <w:pStyle w:val="ListParagraph"/>
        <w:numPr>
          <w:ilvl w:val="0"/>
          <w:numId w:val="3"/>
        </w:numPr>
        <w:spacing w:after="90" w:line="272" w:lineRule="auto"/>
      </w:pPr>
      <w:r>
        <w:rPr>
          <w:b/>
          <w:bCs/>
        </w:rPr>
        <w:t xml:space="preserve">Processing dependence. </w:t>
      </w:r>
      <w:r>
        <w:t>Even mined Greenland REE concentrate would, absent new allied refining capacity, likely still be processed in China. Off-take and processing strategy is a first-order commercial question.</w:t>
      </w:r>
    </w:p>
    <w:p w14:paraId="7F65B847" w14:textId="77777777" w:rsidR="00713291" w:rsidRDefault="00000000">
      <w:pPr>
        <w:pStyle w:val="ListParagraph"/>
        <w:numPr>
          <w:ilvl w:val="0"/>
          <w:numId w:val="3"/>
        </w:numPr>
        <w:spacing w:after="90" w:line="272" w:lineRule="auto"/>
      </w:pPr>
      <w:r>
        <w:rPr>
          <w:b/>
          <w:bCs/>
        </w:rPr>
        <w:t xml:space="preserve">Infrastructure and climate. </w:t>
      </w:r>
      <w:r>
        <w:t>Remoteness, weather and the absence of power and port infrastructure keep capital and operating costs high and timelines long.</w:t>
      </w:r>
    </w:p>
    <w:p w14:paraId="7C5B8595" w14:textId="77777777" w:rsidR="00713291" w:rsidRDefault="00000000">
      <w:pPr>
        <w:pStyle w:val="ListParagraph"/>
        <w:numPr>
          <w:ilvl w:val="0"/>
          <w:numId w:val="3"/>
        </w:numPr>
        <w:spacing w:after="90" w:line="272" w:lineRule="auto"/>
      </w:pPr>
      <w:r>
        <w:rPr>
          <w:b/>
          <w:bCs/>
        </w:rPr>
        <w:t xml:space="preserve">Social licence and governance. </w:t>
      </w:r>
      <w:r>
        <w:t>Greenland has firmly rejected being “for sale” and community consent is decisive. Projects without local legitimacy do not advance, regardless of grade.</w:t>
      </w:r>
    </w:p>
    <w:tbl>
      <w:tblPr>
        <w:tblW w:w="9360" w:type="dxa"/>
        <w:tblBorders>
          <w:top w:val="single" w:sz="2" w:space="0" w:color="2D6A4F"/>
          <w:left w:val="single" w:sz="2" w:space="0" w:color="2D6A4F"/>
          <w:bottom w:val="single" w:sz="2" w:space="0" w:color="2D6A4F"/>
          <w:right w:val="single" w:sz="2" w:space="0" w:color="2D6A4F"/>
          <w:insideH w:val="single" w:sz="4" w:space="0" w:color="auto"/>
          <w:insideV w:val="single" w:sz="4" w:space="0" w:color="auto"/>
        </w:tblBorders>
        <w:shd w:val="clear" w:color="auto" w:fill="D9F2D0" w:themeFill="accent6" w:themeFillTint="33"/>
        <w:tblCellMar>
          <w:left w:w="10" w:type="dxa"/>
          <w:right w:w="10" w:type="dxa"/>
        </w:tblCellMar>
        <w:tblLook w:val="04A0" w:firstRow="1" w:lastRow="0" w:firstColumn="1" w:lastColumn="0" w:noHBand="0" w:noVBand="1"/>
      </w:tblPr>
      <w:tblGrid>
        <w:gridCol w:w="9360"/>
      </w:tblGrid>
      <w:tr w:rsidR="00713291" w:rsidRPr="009A05A0" w14:paraId="1F468C35" w14:textId="77777777" w:rsidTr="009A05A0">
        <w:tblPrEx>
          <w:tblCellMar>
            <w:top w:w="0" w:type="dxa"/>
            <w:bottom w:w="0" w:type="dxa"/>
          </w:tblCellMar>
        </w:tblPrEx>
        <w:tc>
          <w:tcPr>
            <w:tcW w:w="9360" w:type="dxa"/>
            <w:shd w:val="clear" w:color="auto" w:fill="D9F2D0" w:themeFill="accent6" w:themeFillTint="33"/>
            <w:tcMar>
              <w:top w:w="160" w:type="dxa"/>
              <w:left w:w="200" w:type="dxa"/>
              <w:bottom w:w="160" w:type="dxa"/>
              <w:right w:w="200" w:type="dxa"/>
            </w:tcMar>
          </w:tcPr>
          <w:p w14:paraId="5E20A6D4" w14:textId="77777777" w:rsidR="00713291" w:rsidRPr="009A05A0" w:rsidRDefault="00000000">
            <w:pPr>
              <w:spacing w:after="80"/>
              <w:rPr>
                <w:color w:val="000000" w:themeColor="text1"/>
              </w:rPr>
            </w:pPr>
            <w:r w:rsidRPr="009A05A0">
              <w:rPr>
                <w:b/>
                <w:bCs/>
                <w:color w:val="000000" w:themeColor="text1"/>
                <w:sz w:val="22"/>
                <w:szCs w:val="22"/>
              </w:rPr>
              <w:t>QP Opinion 3</w:t>
            </w:r>
          </w:p>
          <w:p w14:paraId="25ACFD0B" w14:textId="77777777" w:rsidR="00713291" w:rsidRPr="009A05A0" w:rsidRDefault="00000000">
            <w:pPr>
              <w:spacing w:line="268" w:lineRule="auto"/>
              <w:jc w:val="both"/>
              <w:rPr>
                <w:color w:val="000000" w:themeColor="text1"/>
              </w:rPr>
            </w:pPr>
            <w:r w:rsidRPr="009A05A0">
              <w:rPr>
                <w:color w:val="000000" w:themeColor="text1"/>
              </w:rPr>
              <w:t xml:space="preserve">The strategic backdrop is genuinely favourable for raising early risk capital against a Greenland REE story right now, and Attu’s grade tenor makes for a compelling headline. The responsible framing for investors is that the macro environment de-risks </w:t>
            </w:r>
            <w:r w:rsidRPr="009A05A0">
              <w:rPr>
                <w:b/>
                <w:bCs/>
                <w:color w:val="000000" w:themeColor="text1"/>
              </w:rPr>
              <w:t>financing and market access</w:t>
            </w:r>
            <w:r w:rsidRPr="009A05A0">
              <w:rPr>
                <w:color w:val="000000" w:themeColor="text1"/>
              </w:rPr>
              <w:t xml:space="preserve">, but does nothing to de-risk the </w:t>
            </w:r>
            <w:r w:rsidRPr="009A05A0">
              <w:rPr>
                <w:b/>
                <w:bCs/>
                <w:color w:val="000000" w:themeColor="text1"/>
              </w:rPr>
              <w:t>geological and tenure fundamentals</w:t>
            </w:r>
            <w:r w:rsidRPr="009A05A0">
              <w:rPr>
                <w:color w:val="000000" w:themeColor="text1"/>
              </w:rPr>
              <w:t>, which remain entirely to be established. The story is strong; the asset is unproven.</w:t>
            </w:r>
          </w:p>
          <w:p w14:paraId="7874434B" w14:textId="77777777" w:rsidR="00713291" w:rsidRPr="009A05A0" w:rsidRDefault="00000000">
            <w:pPr>
              <w:spacing w:before="100"/>
              <w:rPr>
                <w:color w:val="000000" w:themeColor="text1"/>
              </w:rPr>
            </w:pPr>
            <w:r w:rsidRPr="009A05A0">
              <w:rPr>
                <w:i/>
                <w:iCs/>
                <w:color w:val="000000" w:themeColor="text1"/>
                <w:sz w:val="18"/>
                <w:szCs w:val="18"/>
              </w:rPr>
              <w:t>Malcolm Castle, MAusIMM (CP Geo) — Qualified Person, Agricola Mining Consultants Pty Ltd</w:t>
            </w:r>
          </w:p>
        </w:tc>
      </w:tr>
    </w:tbl>
    <w:p w14:paraId="707D9FBF" w14:textId="77777777" w:rsidR="00713291" w:rsidRDefault="00000000">
      <w:pPr>
        <w:pStyle w:val="Heading1"/>
      </w:pPr>
      <w:r>
        <w:lastRenderedPageBreak/>
        <w:t>9. Key Risks</w:t>
      </w: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2500"/>
        <w:gridCol w:w="1500"/>
        <w:gridCol w:w="5360"/>
      </w:tblGrid>
      <w:tr w:rsidR="00713291" w14:paraId="2A91EF22" w14:textId="77777777">
        <w:tblPrEx>
          <w:tblCellMar>
            <w:top w:w="0" w:type="dxa"/>
            <w:bottom w:w="0" w:type="dxa"/>
          </w:tblCellMar>
        </w:tblPrEx>
        <w:trPr>
          <w:tblHeader/>
        </w:trPr>
        <w:tc>
          <w:tcPr>
            <w:tcW w:w="2500" w:type="dxa"/>
            <w:shd w:val="clear" w:color="auto" w:fill="1B3A5C"/>
            <w:tcMar>
              <w:top w:w="70" w:type="dxa"/>
              <w:left w:w="110" w:type="dxa"/>
              <w:bottom w:w="70" w:type="dxa"/>
              <w:right w:w="110" w:type="dxa"/>
            </w:tcMar>
            <w:vAlign w:val="center"/>
          </w:tcPr>
          <w:p w14:paraId="1E666211" w14:textId="77777777" w:rsidR="00713291" w:rsidRDefault="00000000">
            <w:r>
              <w:rPr>
                <w:b/>
                <w:bCs/>
                <w:color w:val="FFFFFF"/>
                <w:sz w:val="19"/>
                <w:szCs w:val="19"/>
              </w:rPr>
              <w:t>Risk</w:t>
            </w:r>
          </w:p>
        </w:tc>
        <w:tc>
          <w:tcPr>
            <w:tcW w:w="1500" w:type="dxa"/>
            <w:shd w:val="clear" w:color="auto" w:fill="1B3A5C"/>
            <w:tcMar>
              <w:top w:w="70" w:type="dxa"/>
              <w:left w:w="110" w:type="dxa"/>
              <w:bottom w:w="70" w:type="dxa"/>
              <w:right w:w="110" w:type="dxa"/>
            </w:tcMar>
            <w:vAlign w:val="center"/>
          </w:tcPr>
          <w:p w14:paraId="58CCED6E" w14:textId="77777777" w:rsidR="00713291" w:rsidRDefault="00000000">
            <w:r>
              <w:rPr>
                <w:b/>
                <w:bCs/>
                <w:color w:val="FFFFFF"/>
                <w:sz w:val="19"/>
                <w:szCs w:val="19"/>
              </w:rPr>
              <w:t>Assessment</w:t>
            </w:r>
          </w:p>
        </w:tc>
        <w:tc>
          <w:tcPr>
            <w:tcW w:w="5360" w:type="dxa"/>
            <w:shd w:val="clear" w:color="auto" w:fill="1B3A5C"/>
            <w:tcMar>
              <w:top w:w="70" w:type="dxa"/>
              <w:left w:w="110" w:type="dxa"/>
              <w:bottom w:w="70" w:type="dxa"/>
              <w:right w:w="110" w:type="dxa"/>
            </w:tcMar>
            <w:vAlign w:val="center"/>
          </w:tcPr>
          <w:p w14:paraId="48BD8B33" w14:textId="77777777" w:rsidR="00713291" w:rsidRDefault="00000000">
            <w:r>
              <w:rPr>
                <w:b/>
                <w:bCs/>
                <w:color w:val="FFFFFF"/>
                <w:sz w:val="19"/>
                <w:szCs w:val="19"/>
              </w:rPr>
              <w:t>Comment</w:t>
            </w:r>
          </w:p>
        </w:tc>
      </w:tr>
      <w:tr w:rsidR="00713291" w14:paraId="5DD52254" w14:textId="77777777">
        <w:tblPrEx>
          <w:tblCellMar>
            <w:top w:w="0" w:type="dxa"/>
            <w:bottom w:w="0" w:type="dxa"/>
          </w:tblCellMar>
        </w:tblPrEx>
        <w:tc>
          <w:tcPr>
            <w:tcW w:w="2500" w:type="dxa"/>
            <w:shd w:val="clear" w:color="auto" w:fill="FFFFFF"/>
            <w:tcMar>
              <w:top w:w="60" w:type="dxa"/>
              <w:left w:w="110" w:type="dxa"/>
              <w:bottom w:w="60" w:type="dxa"/>
              <w:right w:w="110" w:type="dxa"/>
            </w:tcMar>
            <w:vAlign w:val="center"/>
          </w:tcPr>
          <w:p w14:paraId="3B8FA965" w14:textId="77777777" w:rsidR="00713291" w:rsidRDefault="00000000">
            <w:pPr>
              <w:spacing w:line="260" w:lineRule="auto"/>
            </w:pPr>
            <w:r>
              <w:rPr>
                <w:sz w:val="19"/>
                <w:szCs w:val="19"/>
              </w:rPr>
              <w:t>Geological / scale</w:t>
            </w:r>
          </w:p>
        </w:tc>
        <w:tc>
          <w:tcPr>
            <w:tcW w:w="1500" w:type="dxa"/>
            <w:shd w:val="clear" w:color="auto" w:fill="FFFFFF"/>
            <w:tcMar>
              <w:top w:w="60" w:type="dxa"/>
              <w:left w:w="110" w:type="dxa"/>
              <w:bottom w:w="60" w:type="dxa"/>
              <w:right w:w="110" w:type="dxa"/>
            </w:tcMar>
            <w:vAlign w:val="center"/>
          </w:tcPr>
          <w:p w14:paraId="11624A75" w14:textId="77777777" w:rsidR="00713291" w:rsidRDefault="00000000">
            <w:pPr>
              <w:spacing w:line="260" w:lineRule="auto"/>
            </w:pPr>
            <w:r>
              <w:rPr>
                <w:b/>
                <w:bCs/>
              </w:rPr>
              <w:t>High</w:t>
            </w:r>
          </w:p>
        </w:tc>
        <w:tc>
          <w:tcPr>
            <w:tcW w:w="5360" w:type="dxa"/>
            <w:shd w:val="clear" w:color="auto" w:fill="FFFFFF"/>
            <w:tcMar>
              <w:top w:w="60" w:type="dxa"/>
              <w:left w:w="110" w:type="dxa"/>
              <w:bottom w:w="60" w:type="dxa"/>
              <w:right w:w="110" w:type="dxa"/>
            </w:tcMar>
            <w:vAlign w:val="center"/>
          </w:tcPr>
          <w:p w14:paraId="02CF17EA" w14:textId="77777777" w:rsidR="00713291" w:rsidRDefault="00000000">
            <w:pPr>
              <w:spacing w:line="260" w:lineRule="auto"/>
            </w:pPr>
            <w:r>
              <w:rPr>
                <w:sz w:val="19"/>
                <w:szCs w:val="19"/>
              </w:rPr>
              <w:t>Single dyke; size, continuity and average grade all unknown</w:t>
            </w:r>
          </w:p>
        </w:tc>
      </w:tr>
      <w:tr w:rsidR="00713291" w14:paraId="02CEDB64" w14:textId="77777777">
        <w:tblPrEx>
          <w:tblCellMar>
            <w:top w:w="0" w:type="dxa"/>
            <w:bottom w:w="0" w:type="dxa"/>
          </w:tblCellMar>
        </w:tblPrEx>
        <w:tc>
          <w:tcPr>
            <w:tcW w:w="2500" w:type="dxa"/>
            <w:shd w:val="clear" w:color="auto" w:fill="EEF3F9"/>
            <w:tcMar>
              <w:top w:w="60" w:type="dxa"/>
              <w:left w:w="110" w:type="dxa"/>
              <w:bottom w:w="60" w:type="dxa"/>
              <w:right w:w="110" w:type="dxa"/>
            </w:tcMar>
            <w:vAlign w:val="center"/>
          </w:tcPr>
          <w:p w14:paraId="5492E4CE" w14:textId="77777777" w:rsidR="00713291" w:rsidRDefault="00000000">
            <w:pPr>
              <w:spacing w:line="260" w:lineRule="auto"/>
            </w:pPr>
            <w:r>
              <w:rPr>
                <w:sz w:val="19"/>
                <w:szCs w:val="19"/>
              </w:rPr>
              <w:t>Tenure</w:t>
            </w:r>
          </w:p>
        </w:tc>
        <w:tc>
          <w:tcPr>
            <w:tcW w:w="1500" w:type="dxa"/>
            <w:shd w:val="clear" w:color="auto" w:fill="EEF3F9"/>
            <w:tcMar>
              <w:top w:w="60" w:type="dxa"/>
              <w:left w:w="110" w:type="dxa"/>
              <w:bottom w:w="60" w:type="dxa"/>
              <w:right w:w="110" w:type="dxa"/>
            </w:tcMar>
            <w:vAlign w:val="center"/>
          </w:tcPr>
          <w:p w14:paraId="2260A015" w14:textId="77777777" w:rsidR="00713291" w:rsidRDefault="00000000">
            <w:pPr>
              <w:spacing w:line="260" w:lineRule="auto"/>
            </w:pPr>
            <w:r>
              <w:rPr>
                <w:b/>
                <w:bCs/>
              </w:rPr>
              <w:t>High</w:t>
            </w:r>
          </w:p>
        </w:tc>
        <w:tc>
          <w:tcPr>
            <w:tcW w:w="5360" w:type="dxa"/>
            <w:shd w:val="clear" w:color="auto" w:fill="EEF3F9"/>
            <w:tcMar>
              <w:top w:w="60" w:type="dxa"/>
              <w:left w:w="110" w:type="dxa"/>
              <w:bottom w:w="60" w:type="dxa"/>
              <w:right w:w="110" w:type="dxa"/>
            </w:tcMar>
            <w:vAlign w:val="center"/>
          </w:tcPr>
          <w:p w14:paraId="6FEA1906" w14:textId="77777777" w:rsidR="00713291" w:rsidRDefault="00000000">
            <w:pPr>
              <w:spacing w:line="260" w:lineRule="auto"/>
            </w:pPr>
            <w:r>
              <w:rPr>
                <w:sz w:val="19"/>
                <w:szCs w:val="19"/>
              </w:rPr>
              <w:t>Mineral-rights position over the carbonatite not yet confirmed</w:t>
            </w:r>
          </w:p>
        </w:tc>
      </w:tr>
      <w:tr w:rsidR="00713291" w14:paraId="74DF3570" w14:textId="77777777">
        <w:tblPrEx>
          <w:tblCellMar>
            <w:top w:w="0" w:type="dxa"/>
            <w:bottom w:w="0" w:type="dxa"/>
          </w:tblCellMar>
        </w:tblPrEx>
        <w:tc>
          <w:tcPr>
            <w:tcW w:w="2500" w:type="dxa"/>
            <w:shd w:val="clear" w:color="auto" w:fill="FFFFFF"/>
            <w:tcMar>
              <w:top w:w="60" w:type="dxa"/>
              <w:left w:w="110" w:type="dxa"/>
              <w:bottom w:w="60" w:type="dxa"/>
              <w:right w:w="110" w:type="dxa"/>
            </w:tcMar>
            <w:vAlign w:val="center"/>
          </w:tcPr>
          <w:p w14:paraId="54C3477F" w14:textId="77777777" w:rsidR="00713291" w:rsidRDefault="00000000">
            <w:pPr>
              <w:spacing w:line="260" w:lineRule="auto"/>
            </w:pPr>
            <w:r>
              <w:rPr>
                <w:sz w:val="19"/>
                <w:szCs w:val="19"/>
              </w:rPr>
              <w:t>Grade representivity</w:t>
            </w:r>
          </w:p>
        </w:tc>
        <w:tc>
          <w:tcPr>
            <w:tcW w:w="1500" w:type="dxa"/>
            <w:shd w:val="clear" w:color="auto" w:fill="FFFFFF"/>
            <w:tcMar>
              <w:top w:w="60" w:type="dxa"/>
              <w:left w:w="110" w:type="dxa"/>
              <w:bottom w:w="60" w:type="dxa"/>
              <w:right w:w="110" w:type="dxa"/>
            </w:tcMar>
            <w:vAlign w:val="center"/>
          </w:tcPr>
          <w:p w14:paraId="629AA782" w14:textId="77777777" w:rsidR="00713291" w:rsidRDefault="00000000">
            <w:pPr>
              <w:spacing w:line="260" w:lineRule="auto"/>
            </w:pPr>
            <w:r>
              <w:rPr>
                <w:b/>
                <w:bCs/>
              </w:rPr>
              <w:t>High</w:t>
            </w:r>
          </w:p>
        </w:tc>
        <w:tc>
          <w:tcPr>
            <w:tcW w:w="5360" w:type="dxa"/>
            <w:shd w:val="clear" w:color="auto" w:fill="FFFFFF"/>
            <w:tcMar>
              <w:top w:w="60" w:type="dxa"/>
              <w:left w:w="110" w:type="dxa"/>
              <w:bottom w:w="60" w:type="dxa"/>
              <w:right w:w="110" w:type="dxa"/>
            </w:tcMar>
            <w:vAlign w:val="center"/>
          </w:tcPr>
          <w:p w14:paraId="621904EF" w14:textId="77777777" w:rsidR="00713291" w:rsidRDefault="00000000">
            <w:pPr>
              <w:spacing w:line="260" w:lineRule="auto"/>
            </w:pPr>
            <w:r>
              <w:rPr>
                <w:sz w:val="19"/>
                <w:szCs w:val="19"/>
              </w:rPr>
              <w:t>Headline grades are best-sample only; no resource</w:t>
            </w:r>
          </w:p>
        </w:tc>
      </w:tr>
      <w:tr w:rsidR="00713291" w14:paraId="49127DA9" w14:textId="77777777">
        <w:tblPrEx>
          <w:tblCellMar>
            <w:top w:w="0" w:type="dxa"/>
            <w:bottom w:w="0" w:type="dxa"/>
          </w:tblCellMar>
        </w:tblPrEx>
        <w:tc>
          <w:tcPr>
            <w:tcW w:w="2500" w:type="dxa"/>
            <w:shd w:val="clear" w:color="auto" w:fill="EEF3F9"/>
            <w:tcMar>
              <w:top w:w="60" w:type="dxa"/>
              <w:left w:w="110" w:type="dxa"/>
              <w:bottom w:w="60" w:type="dxa"/>
              <w:right w:w="110" w:type="dxa"/>
            </w:tcMar>
            <w:vAlign w:val="center"/>
          </w:tcPr>
          <w:p w14:paraId="32120A1E" w14:textId="77777777" w:rsidR="00713291" w:rsidRDefault="00000000">
            <w:pPr>
              <w:spacing w:line="260" w:lineRule="auto"/>
            </w:pPr>
            <w:r>
              <w:rPr>
                <w:sz w:val="19"/>
                <w:szCs w:val="19"/>
              </w:rPr>
              <w:t>Metallurgical</w:t>
            </w:r>
          </w:p>
        </w:tc>
        <w:tc>
          <w:tcPr>
            <w:tcW w:w="1500" w:type="dxa"/>
            <w:shd w:val="clear" w:color="auto" w:fill="EEF3F9"/>
            <w:tcMar>
              <w:top w:w="60" w:type="dxa"/>
              <w:left w:w="110" w:type="dxa"/>
              <w:bottom w:w="60" w:type="dxa"/>
              <w:right w:w="110" w:type="dxa"/>
            </w:tcMar>
            <w:vAlign w:val="center"/>
          </w:tcPr>
          <w:p w14:paraId="791AE11C" w14:textId="77777777" w:rsidR="00713291" w:rsidRDefault="00000000">
            <w:pPr>
              <w:spacing w:line="260" w:lineRule="auto"/>
            </w:pPr>
            <w:r>
              <w:rPr>
                <w:b/>
                <w:bCs/>
              </w:rPr>
              <w:t>Medium</w:t>
            </w:r>
          </w:p>
        </w:tc>
        <w:tc>
          <w:tcPr>
            <w:tcW w:w="5360" w:type="dxa"/>
            <w:shd w:val="clear" w:color="auto" w:fill="EEF3F9"/>
            <w:tcMar>
              <w:top w:w="60" w:type="dxa"/>
              <w:left w:w="110" w:type="dxa"/>
              <w:bottom w:w="60" w:type="dxa"/>
              <w:right w:w="110" w:type="dxa"/>
            </w:tcMar>
            <w:vAlign w:val="center"/>
          </w:tcPr>
          <w:p w14:paraId="173AE290" w14:textId="77777777" w:rsidR="00713291" w:rsidRDefault="00000000">
            <w:pPr>
              <w:spacing w:line="260" w:lineRule="auto"/>
            </w:pPr>
            <w:r>
              <w:rPr>
                <w:sz w:val="19"/>
                <w:szCs w:val="19"/>
              </w:rPr>
              <w:t>Favourable host minerals, but fine exsolution textures untested</w:t>
            </w:r>
          </w:p>
        </w:tc>
      </w:tr>
      <w:tr w:rsidR="00713291" w14:paraId="5DA75FE0" w14:textId="77777777">
        <w:tblPrEx>
          <w:tblCellMar>
            <w:top w:w="0" w:type="dxa"/>
            <w:bottom w:w="0" w:type="dxa"/>
          </w:tblCellMar>
        </w:tblPrEx>
        <w:tc>
          <w:tcPr>
            <w:tcW w:w="2500" w:type="dxa"/>
            <w:shd w:val="clear" w:color="auto" w:fill="FFFFFF"/>
            <w:tcMar>
              <w:top w:w="60" w:type="dxa"/>
              <w:left w:w="110" w:type="dxa"/>
              <w:bottom w:w="60" w:type="dxa"/>
              <w:right w:w="110" w:type="dxa"/>
            </w:tcMar>
            <w:vAlign w:val="center"/>
          </w:tcPr>
          <w:p w14:paraId="656BA3F2" w14:textId="77777777" w:rsidR="00713291" w:rsidRDefault="00000000">
            <w:pPr>
              <w:spacing w:line="260" w:lineRule="auto"/>
            </w:pPr>
            <w:r>
              <w:rPr>
                <w:sz w:val="19"/>
                <w:szCs w:val="19"/>
              </w:rPr>
              <w:t>Radioactivity / permitting</w:t>
            </w:r>
          </w:p>
        </w:tc>
        <w:tc>
          <w:tcPr>
            <w:tcW w:w="1500" w:type="dxa"/>
            <w:shd w:val="clear" w:color="auto" w:fill="FFFFFF"/>
            <w:tcMar>
              <w:top w:w="60" w:type="dxa"/>
              <w:left w:w="110" w:type="dxa"/>
              <w:bottom w:w="60" w:type="dxa"/>
              <w:right w:w="110" w:type="dxa"/>
            </w:tcMar>
            <w:vAlign w:val="center"/>
          </w:tcPr>
          <w:p w14:paraId="6D7D55CD" w14:textId="77777777" w:rsidR="00713291" w:rsidRDefault="00000000">
            <w:pPr>
              <w:spacing w:line="260" w:lineRule="auto"/>
            </w:pPr>
            <w:r>
              <w:rPr>
                <w:b/>
                <w:bCs/>
              </w:rPr>
              <w:t>Medium</w:t>
            </w:r>
          </w:p>
        </w:tc>
        <w:tc>
          <w:tcPr>
            <w:tcW w:w="5360" w:type="dxa"/>
            <w:shd w:val="clear" w:color="auto" w:fill="FFFFFF"/>
            <w:tcMar>
              <w:top w:w="60" w:type="dxa"/>
              <w:left w:w="110" w:type="dxa"/>
              <w:bottom w:w="60" w:type="dxa"/>
              <w:right w:w="110" w:type="dxa"/>
            </w:tcMar>
            <w:vAlign w:val="center"/>
          </w:tcPr>
          <w:p w14:paraId="7C517FF9" w14:textId="77777777" w:rsidR="00713291" w:rsidRDefault="00000000">
            <w:pPr>
              <w:spacing w:line="260" w:lineRule="auto"/>
            </w:pPr>
            <w:r>
              <w:rPr>
                <w:sz w:val="19"/>
                <w:szCs w:val="19"/>
              </w:rPr>
              <w:t>Likely thorium in monazite; 2021 uranium policy sensitivity</w:t>
            </w:r>
          </w:p>
        </w:tc>
      </w:tr>
      <w:tr w:rsidR="00713291" w14:paraId="44A0F175" w14:textId="77777777">
        <w:tblPrEx>
          <w:tblCellMar>
            <w:top w:w="0" w:type="dxa"/>
            <w:bottom w:w="0" w:type="dxa"/>
          </w:tblCellMar>
        </w:tblPrEx>
        <w:tc>
          <w:tcPr>
            <w:tcW w:w="2500" w:type="dxa"/>
            <w:shd w:val="clear" w:color="auto" w:fill="EEF3F9"/>
            <w:tcMar>
              <w:top w:w="60" w:type="dxa"/>
              <w:left w:w="110" w:type="dxa"/>
              <w:bottom w:w="60" w:type="dxa"/>
              <w:right w:w="110" w:type="dxa"/>
            </w:tcMar>
            <w:vAlign w:val="center"/>
          </w:tcPr>
          <w:p w14:paraId="79160E48" w14:textId="77777777" w:rsidR="00713291" w:rsidRDefault="00000000">
            <w:pPr>
              <w:spacing w:line="260" w:lineRule="auto"/>
            </w:pPr>
            <w:r>
              <w:rPr>
                <w:sz w:val="19"/>
                <w:szCs w:val="19"/>
              </w:rPr>
              <w:t>Infrastructure / cost</w:t>
            </w:r>
          </w:p>
        </w:tc>
        <w:tc>
          <w:tcPr>
            <w:tcW w:w="1500" w:type="dxa"/>
            <w:shd w:val="clear" w:color="auto" w:fill="EEF3F9"/>
            <w:tcMar>
              <w:top w:w="60" w:type="dxa"/>
              <w:left w:w="110" w:type="dxa"/>
              <w:bottom w:w="60" w:type="dxa"/>
              <w:right w:w="110" w:type="dxa"/>
            </w:tcMar>
            <w:vAlign w:val="center"/>
          </w:tcPr>
          <w:p w14:paraId="5E2ECE4D" w14:textId="77777777" w:rsidR="00713291" w:rsidRDefault="00000000">
            <w:pPr>
              <w:spacing w:line="260" w:lineRule="auto"/>
            </w:pPr>
            <w:r>
              <w:rPr>
                <w:b/>
                <w:bCs/>
              </w:rPr>
              <w:t>High</w:t>
            </w:r>
          </w:p>
        </w:tc>
        <w:tc>
          <w:tcPr>
            <w:tcW w:w="5360" w:type="dxa"/>
            <w:shd w:val="clear" w:color="auto" w:fill="EEF3F9"/>
            <w:tcMar>
              <w:top w:w="60" w:type="dxa"/>
              <w:left w:w="110" w:type="dxa"/>
              <w:bottom w:w="60" w:type="dxa"/>
              <w:right w:w="110" w:type="dxa"/>
            </w:tcMar>
            <w:vAlign w:val="center"/>
          </w:tcPr>
          <w:p w14:paraId="44AD3A43" w14:textId="77777777" w:rsidR="00713291" w:rsidRDefault="00000000">
            <w:pPr>
              <w:spacing w:line="260" w:lineRule="auto"/>
            </w:pPr>
            <w:r>
              <w:rPr>
                <w:sz w:val="19"/>
                <w:szCs w:val="19"/>
              </w:rPr>
              <w:t>No road, port, power; Arctic logistics dominate early cost</w:t>
            </w:r>
          </w:p>
        </w:tc>
      </w:tr>
      <w:tr w:rsidR="00713291" w14:paraId="75F4CC14" w14:textId="77777777">
        <w:tblPrEx>
          <w:tblCellMar>
            <w:top w:w="0" w:type="dxa"/>
            <w:bottom w:w="0" w:type="dxa"/>
          </w:tblCellMar>
        </w:tblPrEx>
        <w:tc>
          <w:tcPr>
            <w:tcW w:w="2500" w:type="dxa"/>
            <w:shd w:val="clear" w:color="auto" w:fill="FFFFFF"/>
            <w:tcMar>
              <w:top w:w="60" w:type="dxa"/>
              <w:left w:w="110" w:type="dxa"/>
              <w:bottom w:w="60" w:type="dxa"/>
              <w:right w:w="110" w:type="dxa"/>
            </w:tcMar>
            <w:vAlign w:val="center"/>
          </w:tcPr>
          <w:p w14:paraId="6D5BFC87" w14:textId="77777777" w:rsidR="00713291" w:rsidRDefault="00000000">
            <w:pPr>
              <w:spacing w:line="260" w:lineRule="auto"/>
            </w:pPr>
            <w:r>
              <w:rPr>
                <w:sz w:val="19"/>
                <w:szCs w:val="19"/>
              </w:rPr>
              <w:t>Social licence</w:t>
            </w:r>
          </w:p>
        </w:tc>
        <w:tc>
          <w:tcPr>
            <w:tcW w:w="1500" w:type="dxa"/>
            <w:shd w:val="clear" w:color="auto" w:fill="FFFFFF"/>
            <w:tcMar>
              <w:top w:w="60" w:type="dxa"/>
              <w:left w:w="110" w:type="dxa"/>
              <w:bottom w:w="60" w:type="dxa"/>
              <w:right w:w="110" w:type="dxa"/>
            </w:tcMar>
            <w:vAlign w:val="center"/>
          </w:tcPr>
          <w:p w14:paraId="7CF3BDE0" w14:textId="77777777" w:rsidR="00713291" w:rsidRDefault="00000000">
            <w:pPr>
              <w:spacing w:line="260" w:lineRule="auto"/>
            </w:pPr>
            <w:r>
              <w:rPr>
                <w:b/>
                <w:bCs/>
              </w:rPr>
              <w:t>Medium</w:t>
            </w:r>
          </w:p>
        </w:tc>
        <w:tc>
          <w:tcPr>
            <w:tcW w:w="5360" w:type="dxa"/>
            <w:shd w:val="clear" w:color="auto" w:fill="FFFFFF"/>
            <w:tcMar>
              <w:top w:w="60" w:type="dxa"/>
              <w:left w:w="110" w:type="dxa"/>
              <w:bottom w:w="60" w:type="dxa"/>
              <w:right w:w="110" w:type="dxa"/>
            </w:tcMar>
            <w:vAlign w:val="center"/>
          </w:tcPr>
          <w:p w14:paraId="2DC83DBA" w14:textId="77777777" w:rsidR="00713291" w:rsidRDefault="00000000">
            <w:pPr>
              <w:spacing w:line="260" w:lineRule="auto"/>
            </w:pPr>
            <w:r>
              <w:rPr>
                <w:sz w:val="19"/>
                <w:szCs w:val="19"/>
              </w:rPr>
              <w:t>Decisive in Greenland; no community engagement yet</w:t>
            </w:r>
          </w:p>
        </w:tc>
      </w:tr>
      <w:tr w:rsidR="00713291" w14:paraId="16BEB176" w14:textId="77777777">
        <w:tblPrEx>
          <w:tblCellMar>
            <w:top w:w="0" w:type="dxa"/>
            <w:bottom w:w="0" w:type="dxa"/>
          </w:tblCellMar>
        </w:tblPrEx>
        <w:tc>
          <w:tcPr>
            <w:tcW w:w="2500" w:type="dxa"/>
            <w:shd w:val="clear" w:color="auto" w:fill="EEF3F9"/>
            <w:tcMar>
              <w:top w:w="60" w:type="dxa"/>
              <w:left w:w="110" w:type="dxa"/>
              <w:bottom w:w="60" w:type="dxa"/>
              <w:right w:w="110" w:type="dxa"/>
            </w:tcMar>
            <w:vAlign w:val="center"/>
          </w:tcPr>
          <w:p w14:paraId="4B460E5B" w14:textId="77777777" w:rsidR="00713291" w:rsidRDefault="00000000">
            <w:pPr>
              <w:spacing w:line="260" w:lineRule="auto"/>
            </w:pPr>
            <w:r>
              <w:rPr>
                <w:sz w:val="19"/>
                <w:szCs w:val="19"/>
              </w:rPr>
              <w:t>Processing / off-take</w:t>
            </w:r>
          </w:p>
        </w:tc>
        <w:tc>
          <w:tcPr>
            <w:tcW w:w="1500" w:type="dxa"/>
            <w:shd w:val="clear" w:color="auto" w:fill="EEF3F9"/>
            <w:tcMar>
              <w:top w:w="60" w:type="dxa"/>
              <w:left w:w="110" w:type="dxa"/>
              <w:bottom w:w="60" w:type="dxa"/>
              <w:right w:w="110" w:type="dxa"/>
            </w:tcMar>
            <w:vAlign w:val="center"/>
          </w:tcPr>
          <w:p w14:paraId="59A192E5" w14:textId="77777777" w:rsidR="00713291" w:rsidRDefault="00000000">
            <w:pPr>
              <w:spacing w:line="260" w:lineRule="auto"/>
            </w:pPr>
            <w:r>
              <w:rPr>
                <w:b/>
                <w:bCs/>
              </w:rPr>
              <w:t>Medium</w:t>
            </w:r>
          </w:p>
        </w:tc>
        <w:tc>
          <w:tcPr>
            <w:tcW w:w="5360" w:type="dxa"/>
            <w:shd w:val="clear" w:color="auto" w:fill="EEF3F9"/>
            <w:tcMar>
              <w:top w:w="60" w:type="dxa"/>
              <w:left w:w="110" w:type="dxa"/>
              <w:bottom w:w="60" w:type="dxa"/>
              <w:right w:w="110" w:type="dxa"/>
            </w:tcMar>
            <w:vAlign w:val="center"/>
          </w:tcPr>
          <w:p w14:paraId="268D533A" w14:textId="77777777" w:rsidR="00713291" w:rsidRDefault="00000000">
            <w:pPr>
              <w:spacing w:line="260" w:lineRule="auto"/>
            </w:pPr>
            <w:r>
              <w:rPr>
                <w:sz w:val="19"/>
                <w:szCs w:val="19"/>
              </w:rPr>
              <w:t>China processing dependence absent allied capacity</w:t>
            </w:r>
          </w:p>
        </w:tc>
      </w:tr>
      <w:tr w:rsidR="00713291" w14:paraId="4D7340B5" w14:textId="77777777">
        <w:tblPrEx>
          <w:tblCellMar>
            <w:top w:w="0" w:type="dxa"/>
            <w:bottom w:w="0" w:type="dxa"/>
          </w:tblCellMar>
        </w:tblPrEx>
        <w:tc>
          <w:tcPr>
            <w:tcW w:w="2500" w:type="dxa"/>
            <w:shd w:val="clear" w:color="auto" w:fill="FFFFFF"/>
            <w:tcMar>
              <w:top w:w="60" w:type="dxa"/>
              <w:left w:w="110" w:type="dxa"/>
              <w:bottom w:w="60" w:type="dxa"/>
              <w:right w:w="110" w:type="dxa"/>
            </w:tcMar>
            <w:vAlign w:val="center"/>
          </w:tcPr>
          <w:p w14:paraId="2CAACA18" w14:textId="77777777" w:rsidR="00713291" w:rsidRDefault="00000000">
            <w:pPr>
              <w:spacing w:line="260" w:lineRule="auto"/>
            </w:pPr>
            <w:r>
              <w:rPr>
                <w:sz w:val="19"/>
                <w:szCs w:val="19"/>
              </w:rPr>
              <w:t>Market / price</w:t>
            </w:r>
          </w:p>
        </w:tc>
        <w:tc>
          <w:tcPr>
            <w:tcW w:w="1500" w:type="dxa"/>
            <w:shd w:val="clear" w:color="auto" w:fill="FFFFFF"/>
            <w:tcMar>
              <w:top w:w="60" w:type="dxa"/>
              <w:left w:w="110" w:type="dxa"/>
              <w:bottom w:w="60" w:type="dxa"/>
              <w:right w:w="110" w:type="dxa"/>
            </w:tcMar>
            <w:vAlign w:val="center"/>
          </w:tcPr>
          <w:p w14:paraId="2F17C679" w14:textId="77777777" w:rsidR="00713291" w:rsidRDefault="00000000">
            <w:pPr>
              <w:spacing w:line="260" w:lineRule="auto"/>
            </w:pPr>
            <w:r>
              <w:rPr>
                <w:b/>
                <w:bCs/>
              </w:rPr>
              <w:t>Medium</w:t>
            </w:r>
          </w:p>
        </w:tc>
        <w:tc>
          <w:tcPr>
            <w:tcW w:w="5360" w:type="dxa"/>
            <w:shd w:val="clear" w:color="auto" w:fill="FFFFFF"/>
            <w:tcMar>
              <w:top w:w="60" w:type="dxa"/>
              <w:left w:w="110" w:type="dxa"/>
              <w:bottom w:w="60" w:type="dxa"/>
              <w:right w:w="110" w:type="dxa"/>
            </w:tcMar>
            <w:vAlign w:val="center"/>
          </w:tcPr>
          <w:p w14:paraId="3E25DBEF" w14:textId="77777777" w:rsidR="00713291" w:rsidRDefault="00000000">
            <w:pPr>
              <w:spacing w:line="260" w:lineRule="auto"/>
            </w:pPr>
            <w:r>
              <w:rPr>
                <w:sz w:val="19"/>
                <w:szCs w:val="19"/>
              </w:rPr>
              <w:t>REE prices volatile; Sr/Ba co-products thin markets</w:t>
            </w:r>
          </w:p>
        </w:tc>
      </w:tr>
    </w:tbl>
    <w:p w14:paraId="59863446" w14:textId="77777777" w:rsidR="00713291" w:rsidRDefault="00000000">
      <w:pPr>
        <w:pStyle w:val="Heading1"/>
      </w:pPr>
      <w:r>
        <w:t>10. Recommended Path Forward</w:t>
      </w:r>
    </w:p>
    <w:p w14:paraId="0C903714" w14:textId="77777777" w:rsidR="00713291" w:rsidRDefault="00000000">
      <w:pPr>
        <w:spacing w:after="140" w:line="276" w:lineRule="auto"/>
        <w:jc w:val="both"/>
      </w:pPr>
      <w:r>
        <w:t>A disciplined, low-cost, sequential programme is appropriate. Each stage is a decision point: spend only enough to decide whether the next stage is justified. The objective of Stages 1–3 is simply to determine whether Attu can support a maiden Mineral Resource — not to assume that it can.</w:t>
      </w:r>
    </w:p>
    <w:p w14:paraId="139D9EFC" w14:textId="77777777" w:rsidR="00713291" w:rsidRDefault="00000000">
      <w:pPr>
        <w:pStyle w:val="Heading3"/>
      </w:pPr>
      <w:r>
        <w:t>Stage 1 — Desktop and tenure (weeks)</w:t>
      </w:r>
    </w:p>
    <w:p w14:paraId="20E8DD2D" w14:textId="77777777" w:rsidR="00713291" w:rsidRDefault="00000000">
      <w:pPr>
        <w:pStyle w:val="ListParagraph"/>
        <w:numPr>
          <w:ilvl w:val="0"/>
          <w:numId w:val="2"/>
        </w:numPr>
        <w:spacing w:after="90" w:line="272" w:lineRule="auto"/>
      </w:pPr>
      <w:r>
        <w:t>Confirm mineral tenure and ground availability through the Greenland MRA; identify any incumbent licence holder.</w:t>
      </w:r>
    </w:p>
    <w:p w14:paraId="2079C098" w14:textId="77777777" w:rsidR="00713291" w:rsidRDefault="00000000">
      <w:pPr>
        <w:pStyle w:val="ListParagraph"/>
        <w:numPr>
          <w:ilvl w:val="0"/>
          <w:numId w:val="2"/>
        </w:numPr>
        <w:spacing w:after="90" w:line="272" w:lineRule="auto"/>
      </w:pPr>
      <w:r>
        <w:t>Compile and re-interpret all GEUS data; secure original sample locations and any retained reference material.</w:t>
      </w:r>
    </w:p>
    <w:p w14:paraId="79DE585D" w14:textId="77777777" w:rsidR="00713291" w:rsidRDefault="00000000">
      <w:pPr>
        <w:pStyle w:val="ListParagraph"/>
        <w:numPr>
          <w:ilvl w:val="0"/>
          <w:numId w:val="2"/>
        </w:numPr>
        <w:spacing w:after="90" w:line="272" w:lineRule="auto"/>
      </w:pPr>
      <w:r>
        <w:t>Obtain Th/U data on existing samples where possible to scope the radioactivity question early.</w:t>
      </w:r>
    </w:p>
    <w:p w14:paraId="61F0DD1F" w14:textId="77777777" w:rsidR="00713291" w:rsidRDefault="00000000">
      <w:pPr>
        <w:pStyle w:val="Heading3"/>
      </w:pPr>
      <w:r>
        <w:t>Stage 2 — First-pass field season (one summer)</w:t>
      </w:r>
    </w:p>
    <w:p w14:paraId="705FD955" w14:textId="77777777" w:rsidR="00713291" w:rsidRDefault="00000000">
      <w:pPr>
        <w:pStyle w:val="ListParagraph"/>
        <w:numPr>
          <w:ilvl w:val="0"/>
          <w:numId w:val="2"/>
        </w:numPr>
        <w:spacing w:after="90" w:line="272" w:lineRule="auto"/>
      </w:pPr>
      <w:r>
        <w:t>Detailed mapping and systematic channel sampling of the carbonatite across true widths; trace strike extent.</w:t>
      </w:r>
    </w:p>
    <w:p w14:paraId="28218160" w14:textId="77777777" w:rsidR="00713291" w:rsidRDefault="00000000">
      <w:pPr>
        <w:pStyle w:val="ListParagraph"/>
        <w:numPr>
          <w:ilvl w:val="0"/>
          <w:numId w:val="2"/>
        </w:numPr>
        <w:spacing w:after="90" w:line="272" w:lineRule="auto"/>
      </w:pPr>
      <w:r>
        <w:t>Ground magnetic / radiometric survey to test for concealed extensions and additional dykes.</w:t>
      </w:r>
    </w:p>
    <w:p w14:paraId="286CFE24" w14:textId="77777777" w:rsidR="00713291" w:rsidRDefault="00000000">
      <w:pPr>
        <w:pStyle w:val="ListParagraph"/>
        <w:numPr>
          <w:ilvl w:val="0"/>
          <w:numId w:val="2"/>
        </w:numPr>
        <w:spacing w:after="90" w:line="272" w:lineRule="auto"/>
      </w:pPr>
      <w:r>
        <w:t>Collect representative bulk samples for quantitative mineralogy (QEMSCAN/automated mineralogy) and preliminary metallurgy.</w:t>
      </w:r>
    </w:p>
    <w:p w14:paraId="785E82BE" w14:textId="77777777" w:rsidR="00713291" w:rsidRDefault="00000000">
      <w:pPr>
        <w:pStyle w:val="Heading3"/>
      </w:pPr>
      <w:r>
        <w:t>Stage 3 — Evaluation drilling (conditional)</w:t>
      </w:r>
    </w:p>
    <w:p w14:paraId="5CCAA0CB" w14:textId="77777777" w:rsidR="00713291" w:rsidRDefault="00000000">
      <w:pPr>
        <w:pStyle w:val="ListParagraph"/>
        <w:numPr>
          <w:ilvl w:val="0"/>
          <w:numId w:val="2"/>
        </w:numPr>
        <w:spacing w:after="90" w:line="272" w:lineRule="auto"/>
      </w:pPr>
      <w:r>
        <w:t>If Stage 2 confirms meaningful width, continuity and grade, design a first-pass diamond drill programme to test depth continuity.</w:t>
      </w:r>
    </w:p>
    <w:p w14:paraId="648769A1" w14:textId="77777777" w:rsidR="00713291" w:rsidRDefault="00000000">
      <w:pPr>
        <w:pStyle w:val="ListParagraph"/>
        <w:numPr>
          <w:ilvl w:val="0"/>
          <w:numId w:val="2"/>
        </w:numPr>
        <w:spacing w:after="90" w:line="272" w:lineRule="auto"/>
      </w:pPr>
      <w:r>
        <w:t>On success, proceed to a maiden JORC / S-K 1300 Mineral Resource estimate and a scoping-level metallurgical flowsheet.</w:t>
      </w:r>
    </w:p>
    <w:p w14:paraId="338A5F8F" w14:textId="77777777" w:rsidR="009A05A0" w:rsidRDefault="009A05A0" w:rsidP="009A05A0">
      <w:pPr>
        <w:spacing w:after="90" w:line="272" w:lineRule="auto"/>
      </w:pPr>
    </w:p>
    <w:tbl>
      <w:tblPr>
        <w:tblW w:w="9360" w:type="dxa"/>
        <w:tblBorders>
          <w:top w:val="single" w:sz="2" w:space="0" w:color="2E75B6"/>
          <w:left w:val="single" w:sz="24" w:space="0" w:color="2E75B6"/>
          <w:bottom w:val="single" w:sz="2" w:space="0" w:color="2E75B6"/>
          <w:right w:val="single" w:sz="2" w:space="0" w:color="2E75B6"/>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13291" w14:paraId="08EA527C" w14:textId="77777777">
        <w:tblPrEx>
          <w:tblCellMar>
            <w:top w:w="0" w:type="dxa"/>
            <w:bottom w:w="0" w:type="dxa"/>
          </w:tblCellMar>
        </w:tblPrEx>
        <w:tc>
          <w:tcPr>
            <w:tcW w:w="9360" w:type="dxa"/>
            <w:shd w:val="clear" w:color="auto" w:fill="E8F0F9"/>
            <w:tcMar>
              <w:top w:w="140" w:type="dxa"/>
              <w:left w:w="200" w:type="dxa"/>
              <w:bottom w:w="140" w:type="dxa"/>
              <w:right w:w="160" w:type="dxa"/>
            </w:tcMar>
          </w:tcPr>
          <w:p w14:paraId="39EC362E" w14:textId="77777777" w:rsidR="00713291" w:rsidRDefault="00000000">
            <w:pPr>
              <w:spacing w:after="80"/>
            </w:pPr>
            <w:r>
              <w:rPr>
                <w:b/>
                <w:bCs/>
                <w:color w:val="2E75B6"/>
                <w:sz w:val="22"/>
                <w:szCs w:val="22"/>
              </w:rPr>
              <w:lastRenderedPageBreak/>
              <w:t>Indicative early budget posture</w:t>
            </w:r>
          </w:p>
          <w:p w14:paraId="35E763BE" w14:textId="77777777" w:rsidR="00713291" w:rsidRDefault="00000000">
            <w:pPr>
              <w:spacing w:line="268" w:lineRule="auto"/>
              <w:jc w:val="both"/>
            </w:pPr>
            <w:r>
              <w:t>Stages 1–2 are modest in cost relative to the information they return — they convert an academic curiosity into either a drill-ready target or a documented pass. This is precisely the kind of cheap, high-information-value work that should precede any larger capital commitment or any public resource statement. Costs are dominated by Arctic logistics rather than by the technical work itself.</w:t>
            </w:r>
          </w:p>
        </w:tc>
      </w:tr>
    </w:tbl>
    <w:p w14:paraId="206B0616" w14:textId="77777777" w:rsidR="00713291" w:rsidRDefault="00000000">
      <w:pPr>
        <w:pStyle w:val="Heading1"/>
      </w:pPr>
      <w:r>
        <w:t>11. Concluding Statement</w:t>
      </w:r>
    </w:p>
    <w:p w14:paraId="44D545D2" w14:textId="77777777" w:rsidR="00713291" w:rsidRDefault="00000000">
      <w:pPr>
        <w:spacing w:after="140" w:line="276" w:lineRule="auto"/>
        <w:jc w:val="both"/>
      </w:pPr>
      <w:r>
        <w:t>Attu is one of the more interesting grassroots rare earth stories to emerge from Greenland in recent years. The 2024 discovery of a primary-mineral, high-tenor REE–Sr–Ba carbonatite is real, peer-reviewed and unusual, and the mineralogy is, on balance, of a more processable character than that of Greenland’s flagship silicate-hosted projects. The strategic and financing environment for a Greenland REE story is, at present, unusually supportive.</w:t>
      </w:r>
    </w:p>
    <w:p w14:paraId="44E45C3C" w14:textId="77777777" w:rsidR="00713291" w:rsidRDefault="00000000">
      <w:pPr>
        <w:spacing w:after="140" w:line="276" w:lineRule="auto"/>
        <w:jc w:val="both"/>
      </w:pPr>
      <w:r>
        <w:t>Equally, intellectual honesty requires that the prospect be presented for what it is: an exploration target supported by a small number of exceptional rock samples, with no drilling, no defined dimensions, no metallurgy, no Mineral Resource and unconfirmed tenure. The gap between “spectacular sample” and “economic deposit” is wide, and only systematic, staged fieldwork can close it.</w:t>
      </w:r>
    </w:p>
    <w:tbl>
      <w:tblPr>
        <w:tblW w:w="9360" w:type="dxa"/>
        <w:tblBorders>
          <w:top w:val="single" w:sz="2" w:space="0" w:color="2D6A4F"/>
          <w:left w:val="single" w:sz="2" w:space="0" w:color="2D6A4F"/>
          <w:bottom w:val="single" w:sz="2" w:space="0" w:color="2D6A4F"/>
          <w:right w:val="single" w:sz="2" w:space="0" w:color="2D6A4F"/>
          <w:insideH w:val="single" w:sz="4" w:space="0" w:color="auto"/>
          <w:insideV w:val="single" w:sz="4" w:space="0" w:color="auto"/>
        </w:tblBorders>
        <w:shd w:val="clear" w:color="auto" w:fill="D9F2D0" w:themeFill="accent6" w:themeFillTint="33"/>
        <w:tblCellMar>
          <w:left w:w="10" w:type="dxa"/>
          <w:right w:w="10" w:type="dxa"/>
        </w:tblCellMar>
        <w:tblLook w:val="04A0" w:firstRow="1" w:lastRow="0" w:firstColumn="1" w:lastColumn="0" w:noHBand="0" w:noVBand="1"/>
      </w:tblPr>
      <w:tblGrid>
        <w:gridCol w:w="9360"/>
      </w:tblGrid>
      <w:tr w:rsidR="00713291" w:rsidRPr="009A05A0" w14:paraId="6D7E1DB0" w14:textId="77777777" w:rsidTr="009A05A0">
        <w:tblPrEx>
          <w:tblCellMar>
            <w:top w:w="0" w:type="dxa"/>
            <w:bottom w:w="0" w:type="dxa"/>
          </w:tblCellMar>
        </w:tblPrEx>
        <w:tc>
          <w:tcPr>
            <w:tcW w:w="9360" w:type="dxa"/>
            <w:shd w:val="clear" w:color="auto" w:fill="D9F2D0" w:themeFill="accent6" w:themeFillTint="33"/>
            <w:tcMar>
              <w:top w:w="160" w:type="dxa"/>
              <w:left w:w="200" w:type="dxa"/>
              <w:bottom w:w="160" w:type="dxa"/>
              <w:right w:w="200" w:type="dxa"/>
            </w:tcMar>
          </w:tcPr>
          <w:p w14:paraId="07B34690" w14:textId="77777777" w:rsidR="00713291" w:rsidRPr="009A05A0" w:rsidRDefault="00000000">
            <w:pPr>
              <w:spacing w:after="80"/>
              <w:rPr>
                <w:color w:val="000000" w:themeColor="text1"/>
              </w:rPr>
            </w:pPr>
            <w:r w:rsidRPr="009A05A0">
              <w:rPr>
                <w:b/>
                <w:bCs/>
                <w:color w:val="000000" w:themeColor="text1"/>
                <w:sz w:val="22"/>
                <w:szCs w:val="22"/>
              </w:rPr>
              <w:t>QP Opinion 4</w:t>
            </w:r>
          </w:p>
          <w:p w14:paraId="03A6B0D9" w14:textId="77777777" w:rsidR="00713291" w:rsidRPr="009A05A0" w:rsidRDefault="00000000">
            <w:pPr>
              <w:spacing w:line="268" w:lineRule="auto"/>
              <w:jc w:val="both"/>
              <w:rPr>
                <w:color w:val="000000" w:themeColor="text1"/>
              </w:rPr>
            </w:pPr>
            <w:r w:rsidRPr="009A05A0">
              <w:rPr>
                <w:color w:val="000000" w:themeColor="text1"/>
              </w:rPr>
              <w:t xml:space="preserve">In my opinion Attu warrants a funded, staged first-pass evaluation, contingent on securing tenure. It should be marketed to investors as a </w:t>
            </w:r>
            <w:r w:rsidRPr="009A05A0">
              <w:rPr>
                <w:b/>
                <w:bCs/>
                <w:color w:val="000000" w:themeColor="text1"/>
              </w:rPr>
              <w:t>high-grade, high-risk discovery play</w:t>
            </w:r>
            <w:r w:rsidRPr="009A05A0">
              <w:rPr>
                <w:color w:val="000000" w:themeColor="text1"/>
              </w:rPr>
              <w:t xml:space="preserve"> — attractive precisely because it is early and cheap to test, not because anything has yet been proven. Any representation that Attu hosts a defined resource, or any use of the headline sample grades as deposit grades, would be unsupported by the available data and should be avoided in all investor communications.</w:t>
            </w:r>
          </w:p>
          <w:p w14:paraId="2CDB2097" w14:textId="77777777" w:rsidR="00713291" w:rsidRPr="009A05A0" w:rsidRDefault="00000000">
            <w:pPr>
              <w:spacing w:before="100"/>
              <w:rPr>
                <w:color w:val="000000" w:themeColor="text1"/>
              </w:rPr>
            </w:pPr>
            <w:r w:rsidRPr="009A05A0">
              <w:rPr>
                <w:i/>
                <w:iCs/>
                <w:color w:val="000000" w:themeColor="text1"/>
                <w:sz w:val="18"/>
                <w:szCs w:val="18"/>
              </w:rPr>
              <w:t>Malcolm Castle, MAusIMM (CP Geo) — Qualified Person, Agricola Mining Consultants Pty Ltd</w:t>
            </w:r>
          </w:p>
        </w:tc>
      </w:tr>
    </w:tbl>
    <w:p w14:paraId="1A45EB2A" w14:textId="77777777" w:rsidR="00713291" w:rsidRDefault="00000000">
      <w:pPr>
        <w:pStyle w:val="Heading1"/>
      </w:pPr>
      <w:r>
        <w:t>References and Sources</w:t>
      </w:r>
    </w:p>
    <w:p w14:paraId="075B7843" w14:textId="77777777" w:rsidR="00713291" w:rsidRDefault="00000000">
      <w:pPr>
        <w:spacing w:after="120" w:line="264" w:lineRule="auto"/>
        <w:ind w:left="360" w:hanging="360"/>
        <w:jc w:val="both"/>
      </w:pPr>
      <w:r>
        <w:rPr>
          <w:sz w:val="19"/>
          <w:szCs w:val="19"/>
        </w:rPr>
        <w:t>Knudsen, C., Berger, A., Waight, T., Heredia, B.D., Thomsen, T.B. &amp; Tappe, S. (2024). The newly discovered Attu carbonatite of West Greenland: a Mesoproterozoic dyke intrusion enriched in primary Sr–Ba–REE minerals. Lithos, 482–483, Article 107706.</w:t>
      </w:r>
    </w:p>
    <w:p w14:paraId="5B215930" w14:textId="77777777" w:rsidR="00713291" w:rsidRDefault="00000000">
      <w:pPr>
        <w:spacing w:after="120" w:line="264" w:lineRule="auto"/>
        <w:ind w:left="360" w:hanging="360"/>
        <w:jc w:val="both"/>
      </w:pPr>
      <w:r>
        <w:rPr>
          <w:sz w:val="19"/>
          <w:szCs w:val="19"/>
        </w:rPr>
        <w:t>GEUS — Greenland Mineral Resource Portal, occurrence data sheet “Attu – Rare Earth Elements” (</w:t>
      </w:r>
      <w:proofErr w:type="spellStart"/>
      <w:r>
        <w:rPr>
          <w:sz w:val="19"/>
          <w:szCs w:val="19"/>
        </w:rPr>
        <w:t>Geofeature</w:t>
      </w:r>
      <w:proofErr w:type="spellEnd"/>
      <w:r>
        <w:rPr>
          <w:sz w:val="19"/>
          <w:szCs w:val="19"/>
        </w:rPr>
        <w:t xml:space="preserve"> id 1153). Geological Survey of Denmark and Greenland.</w:t>
      </w:r>
    </w:p>
    <w:p w14:paraId="29675EC8" w14:textId="77777777" w:rsidR="00713291" w:rsidRDefault="00000000">
      <w:pPr>
        <w:spacing w:after="120" w:line="264" w:lineRule="auto"/>
        <w:ind w:left="360" w:hanging="360"/>
        <w:jc w:val="both"/>
      </w:pPr>
      <w:proofErr w:type="spellStart"/>
      <w:r>
        <w:rPr>
          <w:sz w:val="19"/>
          <w:szCs w:val="19"/>
        </w:rPr>
        <w:t>Steenfelt</w:t>
      </w:r>
      <w:proofErr w:type="spellEnd"/>
      <w:r>
        <w:rPr>
          <w:sz w:val="19"/>
          <w:szCs w:val="19"/>
        </w:rPr>
        <w:t>, A., Secher, K. &amp; Garde, A.A. (2007). An overview of pegmatite occurrences in Greenland and their economic potential. GEUS Rapport 2007/2.</w:t>
      </w:r>
    </w:p>
    <w:p w14:paraId="7DABD80C" w14:textId="77777777" w:rsidR="00713291" w:rsidRDefault="00000000">
      <w:pPr>
        <w:spacing w:after="120" w:line="264" w:lineRule="auto"/>
        <w:ind w:left="360" w:hanging="360"/>
        <w:jc w:val="both"/>
      </w:pPr>
      <w:r>
        <w:rPr>
          <w:sz w:val="19"/>
          <w:szCs w:val="19"/>
        </w:rPr>
        <w:t xml:space="preserve">Stendal, H., Nielsen, B.M., Secher, K. &amp; </w:t>
      </w:r>
      <w:proofErr w:type="spellStart"/>
      <w:r>
        <w:rPr>
          <w:sz w:val="19"/>
          <w:szCs w:val="19"/>
        </w:rPr>
        <w:t>Steenfelt</w:t>
      </w:r>
      <w:proofErr w:type="spellEnd"/>
      <w:r>
        <w:rPr>
          <w:sz w:val="19"/>
          <w:szCs w:val="19"/>
        </w:rPr>
        <w:t>, A. (2004). Mineral resources of the Precambrian shield of central West Greenland. Part 2: Mineral occurrences. GEUS Rapport 2004/20.</w:t>
      </w:r>
    </w:p>
    <w:p w14:paraId="448C49CF" w14:textId="77777777" w:rsidR="00713291" w:rsidRDefault="00000000">
      <w:pPr>
        <w:spacing w:after="120" w:line="264" w:lineRule="auto"/>
        <w:ind w:left="360" w:hanging="360"/>
        <w:jc w:val="both"/>
      </w:pPr>
      <w:r>
        <w:rPr>
          <w:sz w:val="19"/>
          <w:szCs w:val="19"/>
        </w:rPr>
        <w:t xml:space="preserve">Mott, A. et al. (2013). Karrat </w:t>
      </w:r>
      <w:proofErr w:type="spellStart"/>
      <w:r>
        <w:rPr>
          <w:sz w:val="19"/>
          <w:szCs w:val="19"/>
        </w:rPr>
        <w:t>Isfjord</w:t>
      </w:r>
      <w:proofErr w:type="spellEnd"/>
      <w:r>
        <w:rPr>
          <w:sz w:val="19"/>
          <w:szCs w:val="19"/>
        </w:rPr>
        <w:t>: a newly discovered Palaeoproterozoic carbonatite-sourced REE deposit, central West Greenland. Economic Geology, 108, 1471.</w:t>
      </w:r>
    </w:p>
    <w:p w14:paraId="54F85101" w14:textId="77777777" w:rsidR="00713291" w:rsidRDefault="00000000">
      <w:pPr>
        <w:spacing w:after="120" w:line="264" w:lineRule="auto"/>
        <w:ind w:left="360" w:hanging="360"/>
        <w:jc w:val="both"/>
      </w:pPr>
      <w:r>
        <w:rPr>
          <w:sz w:val="19"/>
          <w:szCs w:val="19"/>
        </w:rPr>
        <w:t>Selected current-affairs context (2025–26): CSIS, Atlantic Council, Reuters, CNBC and Fortune reporting on Greenland critical-minerals strategy, US engagement, and EU Critical Raw Materials Act designations.</w:t>
      </w:r>
    </w:p>
    <w:p w14:paraId="55488627" w14:textId="77777777" w:rsidR="00713291" w:rsidRDefault="00000000">
      <w:pPr>
        <w:spacing w:before="200"/>
        <w:jc w:val="center"/>
        <w:rPr>
          <w:i/>
          <w:iCs/>
          <w:color w:val="555555"/>
          <w:sz w:val="18"/>
          <w:szCs w:val="18"/>
        </w:rPr>
      </w:pPr>
      <w:r>
        <w:rPr>
          <w:i/>
          <w:iCs/>
          <w:color w:val="555555"/>
          <w:sz w:val="18"/>
          <w:szCs w:val="18"/>
        </w:rPr>
        <w:lastRenderedPageBreak/>
        <w:t>— End of discussion document —</w:t>
      </w:r>
    </w:p>
    <w:p w14:paraId="56FAF811" w14:textId="77777777" w:rsidR="009A05A0" w:rsidRDefault="009A05A0" w:rsidP="009A05A0">
      <w:pPr>
        <w:spacing w:before="480" w:after="80"/>
        <w:jc w:val="center"/>
      </w:pPr>
      <w:r>
        <w:rPr>
          <w:b/>
          <w:bCs/>
          <w:color w:val="1F3A52"/>
          <w:sz w:val="26"/>
          <w:szCs w:val="26"/>
        </w:rPr>
        <w:t>AGRICOLA MINING CONSULTANTS PTY LTD</w:t>
      </w:r>
    </w:p>
    <w:p w14:paraId="750B7E89" w14:textId="77777777" w:rsidR="009A05A0" w:rsidRDefault="009A05A0" w:rsidP="009A05A0">
      <w:pPr>
        <w:spacing w:after="280"/>
        <w:jc w:val="center"/>
      </w:pPr>
      <w:r>
        <w:rPr>
          <w:sz w:val="18"/>
          <w:szCs w:val="18"/>
        </w:rPr>
        <w:t>PO Box 473, South Perth WA 6951, Australia</w:t>
      </w:r>
    </w:p>
    <w:p w14:paraId="55025038" w14:textId="77777777" w:rsidR="009A05A0" w:rsidRDefault="009A05A0" w:rsidP="009A05A0">
      <w:pPr>
        <w:pBdr>
          <w:bottom w:val="single" w:sz="12" w:space="2" w:color="1F3A52"/>
        </w:pBdr>
        <w:spacing w:before="140" w:after="140"/>
      </w:pPr>
    </w:p>
    <w:p w14:paraId="54CC5753" w14:textId="77777777" w:rsidR="009A05A0" w:rsidRDefault="009A05A0" w:rsidP="009A05A0">
      <w:pPr>
        <w:spacing w:before="240" w:after="80"/>
        <w:jc w:val="center"/>
      </w:pPr>
      <w:r>
        <w:rPr>
          <w:b/>
          <w:bCs/>
          <w:color w:val="1F3A52"/>
          <w:sz w:val="28"/>
          <w:szCs w:val="28"/>
        </w:rPr>
        <w:t>RARE EARTH ELEMENTS — GLOBAL MARKET AND INDUSTRY REVIEW</w:t>
      </w:r>
    </w:p>
    <w:p w14:paraId="3E3EE2F8" w14:textId="77777777" w:rsidR="009A05A0" w:rsidRDefault="009A05A0" w:rsidP="009A05A0">
      <w:pPr>
        <w:spacing w:after="80"/>
        <w:jc w:val="center"/>
      </w:pPr>
      <w:r>
        <w:rPr>
          <w:i/>
          <w:iCs/>
          <w:color w:val="2E6B8A"/>
          <w:sz w:val="24"/>
          <w:szCs w:val="24"/>
        </w:rPr>
        <w:t>Strategic Context for the SILA Technology Project</w:t>
      </w:r>
    </w:p>
    <w:p w14:paraId="0D961971" w14:textId="77777777" w:rsidR="009A05A0" w:rsidRDefault="009A05A0" w:rsidP="009A05A0">
      <w:pPr>
        <w:pBdr>
          <w:bottom w:val="single" w:sz="8" w:space="2" w:color="1F3A52"/>
        </w:pBdr>
        <w:spacing w:before="140" w:after="140"/>
      </w:pPr>
    </w:p>
    <w:p w14:paraId="525AB341" w14:textId="77777777" w:rsidR="009A05A0" w:rsidRDefault="009A05A0" w:rsidP="009A05A0">
      <w:pPr>
        <w:spacing w:before="140" w:after="60"/>
        <w:jc w:val="center"/>
      </w:pPr>
      <w:r>
        <w:rPr>
          <w:i/>
          <w:iCs/>
          <w:color w:val="555555"/>
          <w:sz w:val="18"/>
          <w:szCs w:val="18"/>
        </w:rPr>
        <w:t>Prepared by M. Castle MAusIMM (CP Geo), Agricola Mining Consultants Pty Ltd  |  12 June 2026</w:t>
      </w:r>
    </w:p>
    <w:p w14:paraId="7C9BAF15" w14:textId="77777777" w:rsidR="009A05A0" w:rsidRDefault="009A05A0" w:rsidP="009A05A0">
      <w:pPr>
        <w:spacing w:after="80"/>
        <w:jc w:val="center"/>
      </w:pPr>
      <w:r>
        <w:rPr>
          <w:i/>
          <w:iCs/>
          <w:color w:val="555555"/>
          <w:sz w:val="17"/>
          <w:szCs w:val="17"/>
        </w:rPr>
        <w:t>Sources: Mordor Intelligence REE Market Analysis (January 2026); Reuters (May 2026); Oregon Group (June 2026); S&amp;P Global; CSIS; Wood Mackenzie; Atlantic Council; INN; current market data to June 2026</w:t>
      </w:r>
    </w:p>
    <w:p w14:paraId="7B98BD19" w14:textId="77777777" w:rsidR="009A05A0" w:rsidRDefault="009A05A0" w:rsidP="009A05A0">
      <w:pPr>
        <w:pStyle w:val="Heading1"/>
        <w:pageBreakBefore/>
      </w:pPr>
      <w:r>
        <w:lastRenderedPageBreak/>
        <w:t>Executive Summary</w:t>
      </w:r>
    </w:p>
    <w:p w14:paraId="2D9B6DAE" w14:textId="77777777" w:rsidR="009A05A0" w:rsidRDefault="009A05A0" w:rsidP="009A05A0">
      <w:pPr>
        <w:spacing w:after="160"/>
      </w:pPr>
      <w:r>
        <w:t>The global rare earth elements (REE) market is undergoing the most rapid structural transformation in its history. The immediate cause is a Chinese export licensing regime that, since April 2025, has selectively restricted exports of the most strategically critical oxides, triggering sixfold price spikes for some heavy REEs and exposing the depth of Western supply chain dependency. The structural cause is a decade of accelerating demand from permanent magnets for electric vehicle traction motors and offshore wind turbines, consuming neodymium, praseodymium, dysprosium and terbium at rates that no non-Chinese supply chain yet approaches.</w:t>
      </w:r>
    </w:p>
    <w:p w14:paraId="3ECB80F5" w14:textId="77777777" w:rsidR="009A05A0" w:rsidRDefault="009A05A0" w:rsidP="009A05A0">
      <w:pPr>
        <w:spacing w:after="160"/>
      </w:pPr>
      <w:r>
        <w:t>Greenland has emerged as the most prominently discussed non-Chinese REE jurisdiction at the policy level, combining world-class deposit scale, Western geopolitical alignment, and coastal logistics into a profile that satisfies both European Critical Raw Materials Act targets and US national security imperatives. The Ilímaussaq Alkaline Intrusive Complex in southern Greenland hosts at least three advanced project areas in the same geological system, of which the SILA Technology Project (Rimbal Pty Ltd, MEL 2010-24) is among the most strategically positioned by location, flowsheet concept and ownership structure.</w:t>
      </w:r>
    </w:p>
    <w:p w14:paraId="201EFB31" w14:textId="77777777" w:rsidR="009A05A0" w:rsidRDefault="009A05A0" w:rsidP="009A05A0">
      <w:pPr>
        <w:spacing w:after="160"/>
      </w:pPr>
      <w:r>
        <w:t>This report synthesises current market intelligence, pricing data and policy analysis relevant to the SILA Project and to Greenland as a REE province, drawing on the Mordor Intelligence REE Market Analysis (January 2026) as the primary market structure source and on current trade data and policy reporting to June 2026 for market conditions.</w:t>
      </w:r>
    </w:p>
    <w:p w14:paraId="5F974584" w14:textId="77777777" w:rsidR="009A05A0" w:rsidRDefault="009A05A0" w:rsidP="009A05A0">
      <w:pPr>
        <w:pStyle w:val="Heading1"/>
      </w:pPr>
      <w:r>
        <w:t>1  The Global Rare Earth Elements Market</w:t>
      </w:r>
    </w:p>
    <w:p w14:paraId="4952B411" w14:textId="77777777" w:rsidR="009A05A0" w:rsidRDefault="009A05A0" w:rsidP="009A05A0">
      <w:pPr>
        <w:pStyle w:val="Heading2"/>
      </w:pPr>
      <w:r>
        <w:t>1.1  Market size and growth</w:t>
      </w:r>
    </w:p>
    <w:p w14:paraId="04D2C539" w14:textId="77777777" w:rsidR="009A05A0" w:rsidRDefault="009A05A0" w:rsidP="009A05A0">
      <w:pPr>
        <w:spacing w:after="160"/>
      </w:pPr>
      <w:r>
        <w:t>The global REE market reached a volume of approximately 197 kilotons (kt) in 2025 and is projected by Mordor Intelligence to reach 273 kt by 2031, growing at a compound annual growth rate (CAGR) of 5.61% over 2026–2031. Structural demand anchored in electric vehicle (EV) traction motors, offshore wind turbines, and grid-scale clean energy infrastructure underpins this expansion. Industrial automation — each collaborative robot carrying servo motors with NdFeB magnets — adds a parallel demand vector growing at 6.49% CAGR, the fastest of any end-use segment.</w:t>
      </w:r>
    </w:p>
    <w:p w14:paraId="24E4D567" w14:textId="77777777" w:rsidR="009A05A0" w:rsidRDefault="009A05A0" w:rsidP="009A05A0">
      <w:pPr>
        <w:spacing w:before="160" w:after="80"/>
      </w:pPr>
      <w:r>
        <w:rPr>
          <w:b/>
          <w:bCs/>
          <w:sz w:val="19"/>
          <w:szCs w:val="19"/>
        </w:rPr>
        <w:t>Table 1-1.  REE market key metrics (Mordor Intelligence, January 2026; current data to June 2026)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5560"/>
      </w:tblGrid>
      <w:tr w:rsidR="009A05A0" w14:paraId="59FD0059" w14:textId="77777777" w:rsidTr="007E288C">
        <w:tblPrEx>
          <w:tblCellMar>
            <w:top w:w="0" w:type="dxa"/>
            <w:bottom w:w="0" w:type="dxa"/>
          </w:tblCellMar>
        </w:tblPrEx>
        <w:trPr>
          <w:tblHeader/>
        </w:trPr>
        <w:tc>
          <w:tcPr>
            <w:tcW w:w="3800" w:type="dxa"/>
            <w:tcBorders>
              <w:top w:val="single" w:sz="2" w:space="0" w:color="B7C3CC"/>
              <w:left w:val="single" w:sz="2" w:space="0" w:color="B7C3CC"/>
              <w:bottom w:val="single" w:sz="2" w:space="0" w:color="B7C3CC"/>
              <w:right w:val="single" w:sz="2" w:space="0" w:color="B7C3CC"/>
            </w:tcBorders>
            <w:shd w:val="clear" w:color="auto" w:fill="1F3A52"/>
            <w:tcMar>
              <w:top w:w="70" w:type="dxa"/>
              <w:left w:w="110" w:type="dxa"/>
              <w:bottom w:w="70" w:type="dxa"/>
              <w:right w:w="110" w:type="dxa"/>
            </w:tcMar>
            <w:vAlign w:val="center"/>
          </w:tcPr>
          <w:p w14:paraId="79DBA502" w14:textId="77777777" w:rsidR="009A05A0" w:rsidRDefault="009A05A0" w:rsidP="007E288C">
            <w:pPr>
              <w:spacing w:after="40"/>
            </w:pPr>
            <w:r>
              <w:rPr>
                <w:b/>
                <w:bCs/>
                <w:color w:val="FFFFFF"/>
                <w:sz w:val="18"/>
                <w:szCs w:val="18"/>
              </w:rPr>
              <w:t>Metric</w:t>
            </w:r>
          </w:p>
        </w:tc>
        <w:tc>
          <w:tcPr>
            <w:tcW w:w="5560" w:type="dxa"/>
            <w:tcBorders>
              <w:top w:val="single" w:sz="2" w:space="0" w:color="B7C3CC"/>
              <w:left w:val="single" w:sz="2" w:space="0" w:color="B7C3CC"/>
              <w:bottom w:val="single" w:sz="2" w:space="0" w:color="B7C3CC"/>
              <w:right w:val="single" w:sz="2" w:space="0" w:color="B7C3CC"/>
            </w:tcBorders>
            <w:shd w:val="clear" w:color="auto" w:fill="1F3A52"/>
            <w:tcMar>
              <w:top w:w="70" w:type="dxa"/>
              <w:left w:w="110" w:type="dxa"/>
              <w:bottom w:w="70" w:type="dxa"/>
              <w:right w:w="110" w:type="dxa"/>
            </w:tcMar>
            <w:vAlign w:val="center"/>
          </w:tcPr>
          <w:p w14:paraId="7A5640B3" w14:textId="77777777" w:rsidR="009A05A0" w:rsidRDefault="009A05A0" w:rsidP="007E288C">
            <w:pPr>
              <w:spacing w:after="40"/>
            </w:pPr>
            <w:r>
              <w:rPr>
                <w:b/>
                <w:bCs/>
                <w:color w:val="FFFFFF"/>
                <w:sz w:val="18"/>
                <w:szCs w:val="18"/>
              </w:rPr>
              <w:t>Value / finding</w:t>
            </w:r>
          </w:p>
        </w:tc>
      </w:tr>
      <w:tr w:rsidR="009A05A0" w14:paraId="1BED2A8C" w14:textId="77777777" w:rsidTr="007E288C">
        <w:tblPrEx>
          <w:tblCellMar>
            <w:top w:w="0" w:type="dxa"/>
            <w:bottom w:w="0" w:type="dxa"/>
          </w:tblCellMar>
        </w:tblPrEx>
        <w:tc>
          <w:tcPr>
            <w:tcW w:w="38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5A0330C5" w14:textId="77777777" w:rsidR="009A05A0" w:rsidRDefault="009A05A0" w:rsidP="007E288C">
            <w:pPr>
              <w:spacing w:after="40"/>
            </w:pPr>
            <w:r>
              <w:rPr>
                <w:b/>
                <w:bCs/>
                <w:sz w:val="18"/>
                <w:szCs w:val="18"/>
              </w:rPr>
              <w:t>Market volume 2025</w:t>
            </w:r>
          </w:p>
        </w:tc>
        <w:tc>
          <w:tcPr>
            <w:tcW w:w="556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4772D89F" w14:textId="77777777" w:rsidR="009A05A0" w:rsidRDefault="009A05A0" w:rsidP="007E288C">
            <w:pPr>
              <w:spacing w:after="40"/>
            </w:pPr>
            <w:r>
              <w:rPr>
                <w:sz w:val="18"/>
                <w:szCs w:val="18"/>
              </w:rPr>
              <w:t>196.97 kt (projected)</w:t>
            </w:r>
          </w:p>
        </w:tc>
      </w:tr>
      <w:tr w:rsidR="009A05A0" w14:paraId="36C9F511" w14:textId="77777777" w:rsidTr="007E288C">
        <w:tblPrEx>
          <w:tblCellMar>
            <w:top w:w="0" w:type="dxa"/>
            <w:bottom w:w="0" w:type="dxa"/>
          </w:tblCellMar>
        </w:tblPrEx>
        <w:tc>
          <w:tcPr>
            <w:tcW w:w="38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74860E14" w14:textId="77777777" w:rsidR="009A05A0" w:rsidRDefault="009A05A0" w:rsidP="007E288C">
            <w:pPr>
              <w:spacing w:after="40"/>
            </w:pPr>
            <w:r>
              <w:rPr>
                <w:b/>
                <w:bCs/>
                <w:sz w:val="18"/>
                <w:szCs w:val="18"/>
              </w:rPr>
              <w:t>Market volume 2026</w:t>
            </w:r>
          </w:p>
        </w:tc>
        <w:tc>
          <w:tcPr>
            <w:tcW w:w="556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55D71192" w14:textId="77777777" w:rsidR="009A05A0" w:rsidRDefault="009A05A0" w:rsidP="007E288C">
            <w:pPr>
              <w:spacing w:after="40"/>
            </w:pPr>
            <w:r>
              <w:rPr>
                <w:sz w:val="18"/>
                <w:szCs w:val="18"/>
              </w:rPr>
              <w:t>208.02 kt (projected)</w:t>
            </w:r>
          </w:p>
        </w:tc>
      </w:tr>
      <w:tr w:rsidR="009A05A0" w14:paraId="1430AEC2" w14:textId="77777777" w:rsidTr="007E288C">
        <w:tblPrEx>
          <w:tblCellMar>
            <w:top w:w="0" w:type="dxa"/>
            <w:bottom w:w="0" w:type="dxa"/>
          </w:tblCellMar>
        </w:tblPrEx>
        <w:tc>
          <w:tcPr>
            <w:tcW w:w="38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7CCB5DA5" w14:textId="77777777" w:rsidR="009A05A0" w:rsidRDefault="009A05A0" w:rsidP="007E288C">
            <w:pPr>
              <w:spacing w:after="40"/>
            </w:pPr>
            <w:r>
              <w:rPr>
                <w:b/>
                <w:bCs/>
                <w:sz w:val="18"/>
                <w:szCs w:val="18"/>
              </w:rPr>
              <w:t>Market volume 2031</w:t>
            </w:r>
          </w:p>
        </w:tc>
        <w:tc>
          <w:tcPr>
            <w:tcW w:w="556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20D4864B" w14:textId="77777777" w:rsidR="009A05A0" w:rsidRDefault="009A05A0" w:rsidP="007E288C">
            <w:pPr>
              <w:spacing w:after="40"/>
            </w:pPr>
            <w:r>
              <w:rPr>
                <w:sz w:val="18"/>
                <w:szCs w:val="18"/>
              </w:rPr>
              <w:t>273.30 kt (projected)</w:t>
            </w:r>
          </w:p>
        </w:tc>
      </w:tr>
      <w:tr w:rsidR="009A05A0" w14:paraId="7766E89A" w14:textId="77777777" w:rsidTr="007E288C">
        <w:tblPrEx>
          <w:tblCellMar>
            <w:top w:w="0" w:type="dxa"/>
            <w:bottom w:w="0" w:type="dxa"/>
          </w:tblCellMar>
        </w:tblPrEx>
        <w:tc>
          <w:tcPr>
            <w:tcW w:w="38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2AAD1534" w14:textId="77777777" w:rsidR="009A05A0" w:rsidRDefault="009A05A0" w:rsidP="007E288C">
            <w:pPr>
              <w:spacing w:after="40"/>
            </w:pPr>
            <w:r>
              <w:rPr>
                <w:b/>
                <w:bCs/>
                <w:sz w:val="18"/>
                <w:szCs w:val="18"/>
              </w:rPr>
              <w:t>CAGR 2026–2031</w:t>
            </w:r>
          </w:p>
        </w:tc>
        <w:tc>
          <w:tcPr>
            <w:tcW w:w="556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4D1345BB" w14:textId="77777777" w:rsidR="009A05A0" w:rsidRDefault="009A05A0" w:rsidP="007E288C">
            <w:pPr>
              <w:spacing w:after="40"/>
            </w:pPr>
            <w:r>
              <w:rPr>
                <w:sz w:val="18"/>
                <w:szCs w:val="18"/>
              </w:rPr>
              <w:t>5.61%</w:t>
            </w:r>
          </w:p>
        </w:tc>
      </w:tr>
      <w:tr w:rsidR="009A05A0" w14:paraId="6B01593C" w14:textId="77777777" w:rsidTr="007E288C">
        <w:tblPrEx>
          <w:tblCellMar>
            <w:top w:w="0" w:type="dxa"/>
            <w:bottom w:w="0" w:type="dxa"/>
          </w:tblCellMar>
        </w:tblPrEx>
        <w:tc>
          <w:tcPr>
            <w:tcW w:w="38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41F65BB3" w14:textId="77777777" w:rsidR="009A05A0" w:rsidRDefault="009A05A0" w:rsidP="007E288C">
            <w:pPr>
              <w:spacing w:after="40"/>
            </w:pPr>
            <w:r>
              <w:rPr>
                <w:b/>
                <w:bCs/>
                <w:sz w:val="18"/>
                <w:szCs w:val="18"/>
              </w:rPr>
              <w:t>Light REE share of volume (2025)</w:t>
            </w:r>
          </w:p>
        </w:tc>
        <w:tc>
          <w:tcPr>
            <w:tcW w:w="556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2328B054" w14:textId="77777777" w:rsidR="009A05A0" w:rsidRDefault="009A05A0" w:rsidP="007E288C">
            <w:pPr>
              <w:spacing w:after="40"/>
            </w:pPr>
            <w:r>
              <w:rPr>
                <w:sz w:val="18"/>
                <w:szCs w:val="18"/>
              </w:rPr>
              <w:t>87.18%; 5.92% CAGR</w:t>
            </w:r>
          </w:p>
        </w:tc>
      </w:tr>
      <w:tr w:rsidR="009A05A0" w14:paraId="762D51FB" w14:textId="77777777" w:rsidTr="007E288C">
        <w:tblPrEx>
          <w:tblCellMar>
            <w:top w:w="0" w:type="dxa"/>
            <w:bottom w:w="0" w:type="dxa"/>
          </w:tblCellMar>
        </w:tblPrEx>
        <w:tc>
          <w:tcPr>
            <w:tcW w:w="38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2DC94105" w14:textId="77777777" w:rsidR="009A05A0" w:rsidRDefault="009A05A0" w:rsidP="007E288C">
            <w:pPr>
              <w:spacing w:after="40"/>
            </w:pPr>
            <w:r>
              <w:rPr>
                <w:b/>
                <w:bCs/>
                <w:sz w:val="18"/>
                <w:szCs w:val="18"/>
              </w:rPr>
              <w:t>Heavy REE premium element</w:t>
            </w:r>
          </w:p>
        </w:tc>
        <w:tc>
          <w:tcPr>
            <w:tcW w:w="556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1CD017CA" w14:textId="77777777" w:rsidR="009A05A0" w:rsidRDefault="009A05A0" w:rsidP="007E288C">
            <w:pPr>
              <w:spacing w:after="40"/>
            </w:pPr>
            <w:r>
              <w:rPr>
                <w:sz w:val="18"/>
                <w:szCs w:val="18"/>
              </w:rPr>
              <w:t>Dysprosium: 7.26% CAGR — fastest-growing element</w:t>
            </w:r>
          </w:p>
        </w:tc>
      </w:tr>
      <w:tr w:rsidR="009A05A0" w14:paraId="2A76C9B3" w14:textId="77777777" w:rsidTr="007E288C">
        <w:tblPrEx>
          <w:tblCellMar>
            <w:top w:w="0" w:type="dxa"/>
            <w:bottom w:w="0" w:type="dxa"/>
          </w:tblCellMar>
        </w:tblPrEx>
        <w:tc>
          <w:tcPr>
            <w:tcW w:w="38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43AF13D4" w14:textId="77777777" w:rsidR="009A05A0" w:rsidRDefault="009A05A0" w:rsidP="007E288C">
            <w:pPr>
              <w:spacing w:after="40"/>
            </w:pPr>
            <w:r>
              <w:rPr>
                <w:b/>
                <w:bCs/>
                <w:sz w:val="18"/>
                <w:szCs w:val="18"/>
              </w:rPr>
              <w:t>Largest application (2025)</w:t>
            </w:r>
          </w:p>
        </w:tc>
        <w:tc>
          <w:tcPr>
            <w:tcW w:w="556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2E98796B" w14:textId="77777777" w:rsidR="009A05A0" w:rsidRDefault="009A05A0" w:rsidP="007E288C">
            <w:pPr>
              <w:spacing w:after="40"/>
            </w:pPr>
            <w:r>
              <w:rPr>
                <w:sz w:val="18"/>
                <w:szCs w:val="18"/>
              </w:rPr>
              <w:t>Magnets: 48.54% share, 7.43% CAGR</w:t>
            </w:r>
          </w:p>
        </w:tc>
      </w:tr>
      <w:tr w:rsidR="009A05A0" w14:paraId="6D490C3C" w14:textId="77777777" w:rsidTr="007E288C">
        <w:tblPrEx>
          <w:tblCellMar>
            <w:top w:w="0" w:type="dxa"/>
            <w:bottom w:w="0" w:type="dxa"/>
          </w:tblCellMar>
        </w:tblPrEx>
        <w:tc>
          <w:tcPr>
            <w:tcW w:w="38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2A24AAFA" w14:textId="77777777" w:rsidR="009A05A0" w:rsidRDefault="009A05A0" w:rsidP="007E288C">
            <w:pPr>
              <w:spacing w:after="40"/>
            </w:pPr>
            <w:r>
              <w:rPr>
                <w:b/>
                <w:bCs/>
                <w:sz w:val="18"/>
                <w:szCs w:val="18"/>
              </w:rPr>
              <w:t>Largest end-use (2025)</w:t>
            </w:r>
          </w:p>
        </w:tc>
        <w:tc>
          <w:tcPr>
            <w:tcW w:w="556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5BBFEF38" w14:textId="77777777" w:rsidR="009A05A0" w:rsidRDefault="009A05A0" w:rsidP="007E288C">
            <w:pPr>
              <w:spacing w:after="40"/>
            </w:pPr>
            <w:r>
              <w:rPr>
                <w:sz w:val="18"/>
                <w:szCs w:val="18"/>
              </w:rPr>
              <w:t>Clean energy: 30.36% share</w:t>
            </w:r>
          </w:p>
        </w:tc>
      </w:tr>
      <w:tr w:rsidR="009A05A0" w14:paraId="12179C23" w14:textId="77777777" w:rsidTr="007E288C">
        <w:tblPrEx>
          <w:tblCellMar>
            <w:top w:w="0" w:type="dxa"/>
            <w:bottom w:w="0" w:type="dxa"/>
          </w:tblCellMar>
        </w:tblPrEx>
        <w:tc>
          <w:tcPr>
            <w:tcW w:w="38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26675249" w14:textId="77777777" w:rsidR="009A05A0" w:rsidRDefault="009A05A0" w:rsidP="007E288C">
            <w:pPr>
              <w:spacing w:after="40"/>
            </w:pPr>
            <w:r>
              <w:rPr>
                <w:b/>
                <w:bCs/>
                <w:sz w:val="18"/>
                <w:szCs w:val="18"/>
              </w:rPr>
              <w:t>Fastest-growing end-use</w:t>
            </w:r>
          </w:p>
        </w:tc>
        <w:tc>
          <w:tcPr>
            <w:tcW w:w="556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64CC70FE" w14:textId="77777777" w:rsidR="009A05A0" w:rsidRDefault="009A05A0" w:rsidP="007E288C">
            <w:pPr>
              <w:spacing w:after="40"/>
            </w:pPr>
            <w:r>
              <w:rPr>
                <w:sz w:val="18"/>
                <w:szCs w:val="18"/>
              </w:rPr>
              <w:t>Industrial automation: 6.49% CAGR</w:t>
            </w:r>
          </w:p>
        </w:tc>
      </w:tr>
      <w:tr w:rsidR="009A05A0" w14:paraId="5BFD5BA4" w14:textId="77777777" w:rsidTr="007E288C">
        <w:tblPrEx>
          <w:tblCellMar>
            <w:top w:w="0" w:type="dxa"/>
            <w:bottom w:w="0" w:type="dxa"/>
          </w:tblCellMar>
        </w:tblPrEx>
        <w:tc>
          <w:tcPr>
            <w:tcW w:w="38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2ECDB8B7" w14:textId="77777777" w:rsidR="009A05A0" w:rsidRDefault="009A05A0" w:rsidP="007E288C">
            <w:pPr>
              <w:spacing w:after="40"/>
            </w:pPr>
            <w:r>
              <w:rPr>
                <w:b/>
                <w:bCs/>
                <w:sz w:val="18"/>
                <w:szCs w:val="18"/>
              </w:rPr>
              <w:t>Asia-Pacific share of volume (2025)</w:t>
            </w:r>
          </w:p>
        </w:tc>
        <w:tc>
          <w:tcPr>
            <w:tcW w:w="556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253421B1" w14:textId="77777777" w:rsidR="009A05A0" w:rsidRDefault="009A05A0" w:rsidP="007E288C">
            <w:pPr>
              <w:spacing w:after="40"/>
            </w:pPr>
            <w:r>
              <w:rPr>
                <w:sz w:val="18"/>
                <w:szCs w:val="18"/>
              </w:rPr>
              <w:t>86.29%; 5.97% CAGR</w:t>
            </w:r>
          </w:p>
        </w:tc>
      </w:tr>
      <w:tr w:rsidR="009A05A0" w14:paraId="4599E93F" w14:textId="77777777" w:rsidTr="007E288C">
        <w:tblPrEx>
          <w:tblCellMar>
            <w:top w:w="0" w:type="dxa"/>
            <w:bottom w:w="0" w:type="dxa"/>
          </w:tblCellMar>
        </w:tblPrEx>
        <w:tc>
          <w:tcPr>
            <w:tcW w:w="38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21B18257" w14:textId="77777777" w:rsidR="009A05A0" w:rsidRDefault="009A05A0" w:rsidP="007E288C">
            <w:pPr>
              <w:spacing w:after="40"/>
            </w:pPr>
            <w:r>
              <w:rPr>
                <w:b/>
                <w:bCs/>
                <w:sz w:val="18"/>
                <w:szCs w:val="18"/>
              </w:rPr>
              <w:lastRenderedPageBreak/>
              <w:t>NdPr price, January 2026 open</w:t>
            </w:r>
          </w:p>
        </w:tc>
        <w:tc>
          <w:tcPr>
            <w:tcW w:w="556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31E1FC54" w14:textId="77777777" w:rsidR="009A05A0" w:rsidRDefault="009A05A0" w:rsidP="007E288C">
            <w:pPr>
              <w:spacing w:after="40"/>
            </w:pPr>
            <w:r>
              <w:rPr>
                <w:sz w:val="18"/>
                <w:szCs w:val="18"/>
              </w:rPr>
              <w:t>US$53/kg domestic China</w:t>
            </w:r>
          </w:p>
        </w:tc>
      </w:tr>
      <w:tr w:rsidR="009A05A0" w14:paraId="79535DAB" w14:textId="77777777" w:rsidTr="007E288C">
        <w:tblPrEx>
          <w:tblCellMar>
            <w:top w:w="0" w:type="dxa"/>
            <w:bottom w:w="0" w:type="dxa"/>
          </w:tblCellMar>
        </w:tblPrEx>
        <w:tc>
          <w:tcPr>
            <w:tcW w:w="38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3C9601B6" w14:textId="77777777" w:rsidR="009A05A0" w:rsidRDefault="009A05A0" w:rsidP="007E288C">
            <w:pPr>
              <w:spacing w:after="40"/>
            </w:pPr>
            <w:r>
              <w:rPr>
                <w:b/>
                <w:bCs/>
                <w:sz w:val="18"/>
                <w:szCs w:val="18"/>
              </w:rPr>
              <w:t>NdPr price, end-April 2026</w:t>
            </w:r>
          </w:p>
        </w:tc>
        <w:tc>
          <w:tcPr>
            <w:tcW w:w="556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61CC6534" w14:textId="77777777" w:rsidR="009A05A0" w:rsidRDefault="009A05A0" w:rsidP="007E288C">
            <w:pPr>
              <w:spacing w:after="40"/>
            </w:pPr>
            <w:r>
              <w:rPr>
                <w:sz w:val="18"/>
                <w:szCs w:val="18"/>
              </w:rPr>
              <w:t>US$136.7–139.6/kg (≈+160% YTD)</w:t>
            </w:r>
          </w:p>
        </w:tc>
      </w:tr>
      <w:tr w:rsidR="009A05A0" w14:paraId="1A8235C0" w14:textId="77777777" w:rsidTr="007E288C">
        <w:tblPrEx>
          <w:tblCellMar>
            <w:top w:w="0" w:type="dxa"/>
            <w:bottom w:w="0" w:type="dxa"/>
          </w:tblCellMar>
        </w:tblPrEx>
        <w:tc>
          <w:tcPr>
            <w:tcW w:w="38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0E3D6AE6" w14:textId="77777777" w:rsidR="009A05A0" w:rsidRDefault="009A05A0" w:rsidP="007E288C">
            <w:pPr>
              <w:spacing w:after="40"/>
            </w:pPr>
            <w:r>
              <w:rPr>
                <w:b/>
                <w:bCs/>
                <w:sz w:val="18"/>
                <w:szCs w:val="18"/>
              </w:rPr>
              <w:t>NdPr price, May 2026 (consolidated)</w:t>
            </w:r>
          </w:p>
        </w:tc>
        <w:tc>
          <w:tcPr>
            <w:tcW w:w="556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653AC41B" w14:textId="77777777" w:rsidR="009A05A0" w:rsidRDefault="009A05A0" w:rsidP="007E288C">
            <w:pPr>
              <w:spacing w:after="40"/>
            </w:pPr>
            <w:r>
              <w:rPr>
                <w:sz w:val="18"/>
                <w:szCs w:val="18"/>
              </w:rPr>
              <w:t>US$99.61/kg after April correction</w:t>
            </w:r>
          </w:p>
        </w:tc>
      </w:tr>
      <w:tr w:rsidR="009A05A0" w14:paraId="3F5CE7E1" w14:textId="77777777" w:rsidTr="007E288C">
        <w:tblPrEx>
          <w:tblCellMar>
            <w:top w:w="0" w:type="dxa"/>
            <w:bottom w:w="0" w:type="dxa"/>
          </w:tblCellMar>
        </w:tblPrEx>
        <w:tc>
          <w:tcPr>
            <w:tcW w:w="38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1054B67C" w14:textId="77777777" w:rsidR="009A05A0" w:rsidRDefault="009A05A0" w:rsidP="007E288C">
            <w:pPr>
              <w:spacing w:after="40"/>
            </w:pPr>
            <w:r>
              <w:rPr>
                <w:b/>
                <w:bCs/>
                <w:sz w:val="18"/>
                <w:szCs w:val="18"/>
              </w:rPr>
              <w:t>DoD-backed Western price floor</w:t>
            </w:r>
          </w:p>
        </w:tc>
        <w:tc>
          <w:tcPr>
            <w:tcW w:w="556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1CE95B36" w14:textId="77777777" w:rsidR="009A05A0" w:rsidRDefault="009A05A0" w:rsidP="007E288C">
            <w:pPr>
              <w:spacing w:after="40"/>
            </w:pPr>
            <w:r>
              <w:rPr>
                <w:sz w:val="18"/>
                <w:szCs w:val="18"/>
              </w:rPr>
              <w:t>US$110/kg NdPr (MP Materials contract, 10-year)</w:t>
            </w:r>
          </w:p>
        </w:tc>
      </w:tr>
      <w:tr w:rsidR="009A05A0" w14:paraId="5E01E360" w14:textId="77777777" w:rsidTr="007E288C">
        <w:tblPrEx>
          <w:tblCellMar>
            <w:top w:w="0" w:type="dxa"/>
            <w:bottom w:w="0" w:type="dxa"/>
          </w:tblCellMar>
        </w:tblPrEx>
        <w:tc>
          <w:tcPr>
            <w:tcW w:w="38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6A388498" w14:textId="77777777" w:rsidR="009A05A0" w:rsidRDefault="009A05A0" w:rsidP="007E288C">
            <w:pPr>
              <w:spacing w:after="40"/>
            </w:pPr>
            <w:r>
              <w:rPr>
                <w:b/>
                <w:bCs/>
                <w:sz w:val="18"/>
                <w:szCs w:val="18"/>
              </w:rPr>
              <w:t>CIF Rotterdam (May 2026)</w:t>
            </w:r>
          </w:p>
        </w:tc>
        <w:tc>
          <w:tcPr>
            <w:tcW w:w="556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15439D9A" w14:textId="77777777" w:rsidR="009A05A0" w:rsidRDefault="009A05A0" w:rsidP="007E288C">
            <w:pPr>
              <w:spacing w:after="40"/>
            </w:pPr>
            <w:r>
              <w:rPr>
                <w:sz w:val="18"/>
                <w:szCs w:val="18"/>
              </w:rPr>
              <w:t>US$255/kg — unchanged, no Western panic</w:t>
            </w:r>
          </w:p>
        </w:tc>
      </w:tr>
    </w:tbl>
    <w:p w14:paraId="097CD031" w14:textId="77777777" w:rsidR="009A05A0" w:rsidRDefault="009A05A0" w:rsidP="009A05A0">
      <w:pPr>
        <w:pStyle w:val="Heading2"/>
      </w:pPr>
      <w:r>
        <w:t>1.2  Demand drivers</w:t>
      </w:r>
    </w:p>
    <w:p w14:paraId="144B9403" w14:textId="77777777" w:rsidR="009A05A0" w:rsidRDefault="009A05A0" w:rsidP="009A05A0">
      <w:pPr>
        <w:spacing w:after="160"/>
      </w:pPr>
      <w:r>
        <w:rPr>
          <w:b/>
          <w:bCs/>
        </w:rPr>
        <w:t xml:space="preserve">NdFeB permanent magnets for EVs and wind. </w:t>
      </w:r>
      <w:r>
        <w:t>Neodymium-iron-boron magnets are the only commercially viable solution for high-performance EV motors and direct-drive wind turbine generators at scale. Each 3 MW offshore turbine incorporates NdPr and dysprosium; each EV traction motor consumes approximately 1–2 kg of NdFeB. Global EV sales are forecast at 22.9 million units in 2026, up 28% year-on-year, and global offshore wind installation is accelerating. There is no scalable substitute within the relevant forecast horizon for dysprosium's role in high-temperature magnet stability, despite sustained research investment.</w:t>
      </w:r>
    </w:p>
    <w:p w14:paraId="3279F103" w14:textId="77777777" w:rsidR="009A05A0" w:rsidRDefault="009A05A0" w:rsidP="009A05A0">
      <w:pPr>
        <w:spacing w:after="160"/>
      </w:pPr>
      <w:r>
        <w:rPr>
          <w:b/>
          <w:bCs/>
        </w:rPr>
        <w:t xml:space="preserve">Clean energy and decarbonisation policy. </w:t>
      </w:r>
      <w:r>
        <w:t>The EU’s Fit for 55 initiative, the US Inflation Reduction Act, and the CHIPS Act collectively mandate domestic content and sourcing provisions that channel investment toward ex-China supply. Cerium oxide in catalytic converters, lanthanum in nickel-metal-hydride batteries, and yttrium in ceramics and LEDs provide additional demand vectors. The policy environment has converted REE supply from a procurement question into a national security question.</w:t>
      </w:r>
    </w:p>
    <w:p w14:paraId="0B1FC33B" w14:textId="77777777" w:rsidR="009A05A0" w:rsidRDefault="009A05A0" w:rsidP="009A05A0">
      <w:pPr>
        <w:spacing w:after="160"/>
      </w:pPr>
      <w:r>
        <w:rPr>
          <w:b/>
          <w:bCs/>
        </w:rPr>
        <w:t xml:space="preserve">Industrial automation and robotics. </w:t>
      </w:r>
      <w:r>
        <w:t>Each collaborative robot carries multiple servo motors; China led global robot installations with tens of thousands of units in 2024–2025. This demand vector is structural and China-independent (robots are manufactured in China but consume REE magnets from within the integrated domestic supply chain, increasing Chinese internal consumption and reducing exportable volumes).</w:t>
      </w:r>
    </w:p>
    <w:p w14:paraId="5C915851" w14:textId="77777777" w:rsidR="009A05A0" w:rsidRDefault="009A05A0" w:rsidP="009A05A0">
      <w:pPr>
        <w:spacing w:after="160"/>
      </w:pPr>
      <w:r>
        <w:rPr>
          <w:b/>
          <w:bCs/>
        </w:rPr>
        <w:t xml:space="preserve">Defence and aerospace. </w:t>
      </w:r>
      <w:r>
        <w:t>Samarium-cobalt and dysprosium-rich magnets carry national-security designations in the US and EU, immunising procurement from normal cyclical demand management. The US National Defence Authorisation Act for FY 2027 is expected to include explicit provisions requiring DoD supply chains to transition away from Chinese-origin REEs before the 2027 deadline.</w:t>
      </w:r>
    </w:p>
    <w:p w14:paraId="6A9E4DB0" w14:textId="77777777" w:rsidR="009A05A0" w:rsidRDefault="009A05A0" w:rsidP="009A05A0">
      <w:pPr>
        <w:pStyle w:val="Heading1"/>
      </w:pPr>
      <w:r>
        <w:t>2  Supply Structure: Chinese Dominance and the Policy Weapon</w:t>
      </w:r>
    </w:p>
    <w:p w14:paraId="561741B0" w14:textId="77777777" w:rsidR="009A05A0" w:rsidRDefault="009A05A0" w:rsidP="009A05A0">
      <w:pPr>
        <w:pStyle w:val="Heading2"/>
      </w:pPr>
      <w:r>
        <w:t>2.1  The scale of Chinese control</w:t>
      </w:r>
    </w:p>
    <w:p w14:paraId="553FD43A" w14:textId="77777777" w:rsidR="009A05A0" w:rsidRDefault="009A05A0" w:rsidP="009A05A0">
      <w:pPr>
        <w:spacing w:after="160"/>
      </w:pPr>
      <w:r>
        <w:t>China controls approximately 90% of global rare earth processing and, by some analyst estimates, 92% of refined NdPr supply. For the heavy rare earths — dysprosium, terbium and yttrium — Chinese control rises to 98–99%. This is not primarily a reserve story (China holds approximately 48% of global proven reserves by USGS estimates) but a processing story: the rest of the world mines, but China separates, refines and alloys. As of early 2026, no Western plant had achieved commercial processing of heavy rare earths at scale.</w:t>
      </w:r>
    </w:p>
    <w:p w14:paraId="0CBDA65E" w14:textId="77777777" w:rsidR="009A05A0" w:rsidRDefault="009A05A0" w:rsidP="009A05A0">
      <w:pPr>
        <w:spacing w:after="160"/>
      </w:pPr>
      <w:r>
        <w:t>The structural implication is that export controls do not need to be comprehensive to be effective. A temporary, targeted restriction on the most critical elements — dysprosium, terbium, gallium, germanium — can disrupt Western advanced manufacturing within weeks, because no alternative separation capacity exists at the required scale. The Chinese export control framework has evolved precisely this instrument.</w:t>
      </w:r>
    </w:p>
    <w:p w14:paraId="62A409D6" w14:textId="77777777" w:rsidR="009A05A0" w:rsidRDefault="009A05A0" w:rsidP="009A05A0">
      <w:pPr>
        <w:pStyle w:val="Heading2"/>
      </w:pPr>
      <w:r>
        <w:lastRenderedPageBreak/>
        <w:t>2.2  The 2025–2026 export control sequence</w:t>
      </w:r>
    </w:p>
    <w:p w14:paraId="4A1A3E98" w14:textId="77777777" w:rsidR="009A05A0" w:rsidRDefault="009A05A0" w:rsidP="009A05A0">
      <w:pPr>
        <w:spacing w:after="160"/>
      </w:pPr>
      <w:r>
        <w:t>April 2025: China introduced a strict licensing regime targeting exports of heavy rare earths and rare earth processing equipment to jurisdictions linked to defence and high-technology industries. European importers experienced an immediate surge in dysprosium oxide prices; turbine OEMs scrambled to renegotiate supply contracts. US pushback led to a partial easing in July 2025. October 2025: Beijing expanded controls, introducing a content-threshold rule requiring downstream producers to certify the origin of every rare earth atom in finished goods. The controls targeted dual-use items heading to Japan in early 2026.</w:t>
      </w:r>
    </w:p>
    <w:p w14:paraId="6BE01D9D" w14:textId="77777777" w:rsidR="009A05A0" w:rsidRDefault="009A05A0" w:rsidP="009A05A0">
      <w:pPr>
        <w:spacing w:after="160"/>
      </w:pPr>
      <w:r>
        <w:t>The result: licensing approval rates for European firms ran below 25%; heavy REE export volumes to ex-China markets remained approximately 50% below pre-control levels through May 2026. The ex-China market price for terbium oxide reached approximately US$4,500/kg by May 2026 against a Chinese domestic assessment of approximately US$804/kg — a 460% domestic/ex-China spread. Dysprosium reached approximately US$1,450/kg ex-China against US$191/kg domestic. Yttrium reached approximately US$1,100/kg ex-China (roughly 140 times its pre-control level).</w:t>
      </w:r>
    </w:p>
    <w:p w14:paraId="0FDD0C6B" w14:textId="77777777" w:rsidR="009A05A0" w:rsidRDefault="009A05A0" w:rsidP="009A05A0">
      <w:pPr>
        <w:spacing w:after="160"/>
      </w:pPr>
      <w:r>
        <w:t xml:space="preserve">A game-theory dimension underlies the control regime: temporary, reversible restrictions maintain leverage and pricing power while avoiding the long-term consequence of forcing full Western decoupling. Analysts describe China as </w:t>
      </w:r>
      <w:proofErr w:type="spellStart"/>
      <w:r>
        <w:t>weaponising</w:t>
      </w:r>
      <w:proofErr w:type="spellEnd"/>
      <w:r>
        <w:t xml:space="preserve"> control rather than scarcity. The Trump–Xi summit of May 2026 addressed the rare earth truce extension directly, with Reuters reporting that heavy REE exports remained approximately 50% below pre-control levels despite diplomatic engagement.</w:t>
      </w:r>
    </w:p>
    <w:p w14:paraId="5C29E653" w14:textId="77777777" w:rsidR="009A05A0" w:rsidRDefault="009A05A0" w:rsidP="009A05A0">
      <w:pPr>
        <w:pStyle w:val="Heading2"/>
      </w:pPr>
      <w:r>
        <w:t>2.3  Western supply alternatives: the 2026 state of play</w:t>
      </w:r>
    </w:p>
    <w:p w14:paraId="4E75E255" w14:textId="77777777" w:rsidR="009A05A0" w:rsidRDefault="009A05A0" w:rsidP="009A05A0">
      <w:pPr>
        <w:spacing w:before="160" w:after="80"/>
      </w:pPr>
      <w:r>
        <w:rPr>
          <w:b/>
          <w:bCs/>
          <w:sz w:val="19"/>
          <w:szCs w:val="19"/>
        </w:rPr>
        <w:t>Table 2-1.  Principal non-Chinese REE producers and projects (2026)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1500"/>
        <w:gridCol w:w="4200"/>
        <w:gridCol w:w="1760"/>
      </w:tblGrid>
      <w:tr w:rsidR="009A05A0" w14:paraId="5ED7843E" w14:textId="77777777" w:rsidTr="007E288C">
        <w:tblPrEx>
          <w:tblCellMar>
            <w:top w:w="0" w:type="dxa"/>
            <w:bottom w:w="0" w:type="dxa"/>
          </w:tblCellMar>
        </w:tblPrEx>
        <w:trPr>
          <w:tblHeader/>
        </w:trPr>
        <w:tc>
          <w:tcPr>
            <w:tcW w:w="1900" w:type="dxa"/>
            <w:tcBorders>
              <w:top w:val="single" w:sz="2" w:space="0" w:color="B7C3CC"/>
              <w:left w:val="single" w:sz="2" w:space="0" w:color="B7C3CC"/>
              <w:bottom w:val="single" w:sz="2" w:space="0" w:color="B7C3CC"/>
              <w:right w:val="single" w:sz="2" w:space="0" w:color="B7C3CC"/>
            </w:tcBorders>
            <w:shd w:val="clear" w:color="auto" w:fill="1F3A52"/>
            <w:tcMar>
              <w:top w:w="70" w:type="dxa"/>
              <w:left w:w="110" w:type="dxa"/>
              <w:bottom w:w="70" w:type="dxa"/>
              <w:right w:w="110" w:type="dxa"/>
            </w:tcMar>
            <w:vAlign w:val="center"/>
          </w:tcPr>
          <w:p w14:paraId="1B78AB1A" w14:textId="77777777" w:rsidR="009A05A0" w:rsidRDefault="009A05A0" w:rsidP="007E288C">
            <w:pPr>
              <w:spacing w:after="40"/>
            </w:pPr>
            <w:r>
              <w:rPr>
                <w:b/>
                <w:bCs/>
                <w:color w:val="FFFFFF"/>
                <w:sz w:val="18"/>
                <w:szCs w:val="18"/>
              </w:rPr>
              <w:t>Entity / project</w:t>
            </w:r>
          </w:p>
        </w:tc>
        <w:tc>
          <w:tcPr>
            <w:tcW w:w="1500" w:type="dxa"/>
            <w:tcBorders>
              <w:top w:val="single" w:sz="2" w:space="0" w:color="B7C3CC"/>
              <w:left w:val="single" w:sz="2" w:space="0" w:color="B7C3CC"/>
              <w:bottom w:val="single" w:sz="2" w:space="0" w:color="B7C3CC"/>
              <w:right w:val="single" w:sz="2" w:space="0" w:color="B7C3CC"/>
            </w:tcBorders>
            <w:shd w:val="clear" w:color="auto" w:fill="1F3A52"/>
            <w:tcMar>
              <w:top w:w="70" w:type="dxa"/>
              <w:left w:w="110" w:type="dxa"/>
              <w:bottom w:w="70" w:type="dxa"/>
              <w:right w:w="110" w:type="dxa"/>
            </w:tcMar>
            <w:vAlign w:val="center"/>
          </w:tcPr>
          <w:p w14:paraId="7F48BE36" w14:textId="77777777" w:rsidR="009A05A0" w:rsidRDefault="009A05A0" w:rsidP="007E288C">
            <w:pPr>
              <w:spacing w:after="40"/>
            </w:pPr>
            <w:r>
              <w:rPr>
                <w:b/>
                <w:bCs/>
                <w:color w:val="FFFFFF"/>
                <w:sz w:val="18"/>
                <w:szCs w:val="18"/>
              </w:rPr>
              <w:t>Jurisdiction</w:t>
            </w:r>
          </w:p>
        </w:tc>
        <w:tc>
          <w:tcPr>
            <w:tcW w:w="4200" w:type="dxa"/>
            <w:tcBorders>
              <w:top w:val="single" w:sz="2" w:space="0" w:color="B7C3CC"/>
              <w:left w:val="single" w:sz="2" w:space="0" w:color="B7C3CC"/>
              <w:bottom w:val="single" w:sz="2" w:space="0" w:color="B7C3CC"/>
              <w:right w:val="single" w:sz="2" w:space="0" w:color="B7C3CC"/>
            </w:tcBorders>
            <w:shd w:val="clear" w:color="auto" w:fill="1F3A52"/>
            <w:tcMar>
              <w:top w:w="70" w:type="dxa"/>
              <w:left w:w="110" w:type="dxa"/>
              <w:bottom w:w="70" w:type="dxa"/>
              <w:right w:w="110" w:type="dxa"/>
            </w:tcMar>
            <w:vAlign w:val="center"/>
          </w:tcPr>
          <w:p w14:paraId="24B61F8B" w14:textId="77777777" w:rsidR="009A05A0" w:rsidRDefault="009A05A0" w:rsidP="007E288C">
            <w:pPr>
              <w:spacing w:after="40"/>
            </w:pPr>
            <w:r>
              <w:rPr>
                <w:b/>
                <w:bCs/>
                <w:color w:val="FFFFFF"/>
                <w:sz w:val="18"/>
                <w:szCs w:val="18"/>
              </w:rPr>
              <w:t>Status (June 2026)</w:t>
            </w:r>
          </w:p>
        </w:tc>
        <w:tc>
          <w:tcPr>
            <w:tcW w:w="1760" w:type="dxa"/>
            <w:tcBorders>
              <w:top w:val="single" w:sz="2" w:space="0" w:color="B7C3CC"/>
              <w:left w:val="single" w:sz="2" w:space="0" w:color="B7C3CC"/>
              <w:bottom w:val="single" w:sz="2" w:space="0" w:color="B7C3CC"/>
              <w:right w:val="single" w:sz="2" w:space="0" w:color="B7C3CC"/>
            </w:tcBorders>
            <w:shd w:val="clear" w:color="auto" w:fill="1F3A52"/>
            <w:tcMar>
              <w:top w:w="70" w:type="dxa"/>
              <w:left w:w="110" w:type="dxa"/>
              <w:bottom w:w="70" w:type="dxa"/>
              <w:right w:w="110" w:type="dxa"/>
            </w:tcMar>
            <w:vAlign w:val="center"/>
          </w:tcPr>
          <w:p w14:paraId="79E4EFFC" w14:textId="77777777" w:rsidR="009A05A0" w:rsidRDefault="009A05A0" w:rsidP="007E288C">
            <w:pPr>
              <w:spacing w:after="40"/>
            </w:pPr>
            <w:r>
              <w:rPr>
                <w:b/>
                <w:bCs/>
                <w:color w:val="FFFFFF"/>
                <w:sz w:val="18"/>
                <w:szCs w:val="18"/>
              </w:rPr>
              <w:t>Relevance to SILA</w:t>
            </w:r>
          </w:p>
        </w:tc>
      </w:tr>
      <w:tr w:rsidR="009A05A0" w14:paraId="597CF6DD" w14:textId="77777777" w:rsidTr="007E288C">
        <w:tblPrEx>
          <w:tblCellMar>
            <w:top w:w="0" w:type="dxa"/>
            <w:bottom w:w="0" w:type="dxa"/>
          </w:tblCellMar>
        </w:tblPrEx>
        <w:tc>
          <w:tcPr>
            <w:tcW w:w="19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0CF9155E" w14:textId="77777777" w:rsidR="009A05A0" w:rsidRDefault="009A05A0" w:rsidP="007E288C">
            <w:pPr>
              <w:spacing w:after="40"/>
            </w:pPr>
            <w:r>
              <w:rPr>
                <w:b/>
                <w:bCs/>
                <w:sz w:val="18"/>
                <w:szCs w:val="18"/>
              </w:rPr>
              <w:t>MP Materials — Mountain Pass</w:t>
            </w:r>
          </w:p>
        </w:tc>
        <w:tc>
          <w:tcPr>
            <w:tcW w:w="15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4AB57EA1" w14:textId="77777777" w:rsidR="009A05A0" w:rsidRDefault="009A05A0" w:rsidP="007E288C">
            <w:pPr>
              <w:spacing w:after="40"/>
            </w:pPr>
            <w:r>
              <w:rPr>
                <w:sz w:val="18"/>
                <w:szCs w:val="18"/>
              </w:rPr>
              <w:t>USA (California)</w:t>
            </w:r>
          </w:p>
        </w:tc>
        <w:tc>
          <w:tcPr>
            <w:tcW w:w="42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2FC7CB45" w14:textId="77777777" w:rsidR="009A05A0" w:rsidRDefault="009A05A0" w:rsidP="007E288C">
            <w:pPr>
              <w:spacing w:after="40"/>
            </w:pPr>
            <w:r>
              <w:rPr>
                <w:sz w:val="18"/>
                <w:szCs w:val="18"/>
              </w:rPr>
              <w:t>Operating. Halted exports to China Q3 2025; redirecting feed to in-house separation plant in California. DoD-backed heavy-earth circuit targeting output mid-2026. NdPr metal and NdFeB magnet production initiated at Fort Worth, Texas (January 2025). DoD 10-year US$110/kg NdPr price floor.</w:t>
            </w:r>
          </w:p>
        </w:tc>
        <w:tc>
          <w:tcPr>
            <w:tcW w:w="176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1ECDD54F" w14:textId="77777777" w:rsidR="009A05A0" w:rsidRDefault="009A05A0" w:rsidP="007E288C">
            <w:pPr>
              <w:spacing w:after="40"/>
            </w:pPr>
            <w:r>
              <w:rPr>
                <w:sz w:val="18"/>
                <w:szCs w:val="18"/>
              </w:rPr>
              <w:t>Establishes the Western price floor that is the primary long-term price anchor for SILA project economics.</w:t>
            </w:r>
          </w:p>
        </w:tc>
      </w:tr>
      <w:tr w:rsidR="009A05A0" w14:paraId="569D7F12" w14:textId="77777777" w:rsidTr="007E288C">
        <w:tblPrEx>
          <w:tblCellMar>
            <w:top w:w="0" w:type="dxa"/>
            <w:bottom w:w="0" w:type="dxa"/>
          </w:tblCellMar>
        </w:tblPrEx>
        <w:tc>
          <w:tcPr>
            <w:tcW w:w="19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2A175AD9" w14:textId="77777777" w:rsidR="009A05A0" w:rsidRDefault="009A05A0" w:rsidP="007E288C">
            <w:pPr>
              <w:spacing w:after="40"/>
            </w:pPr>
            <w:r>
              <w:rPr>
                <w:b/>
                <w:bCs/>
                <w:sz w:val="18"/>
                <w:szCs w:val="18"/>
              </w:rPr>
              <w:t>Lynas Rare Earths — Mt Weld / LAMP</w:t>
            </w:r>
          </w:p>
        </w:tc>
        <w:tc>
          <w:tcPr>
            <w:tcW w:w="15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5D04F326" w14:textId="77777777" w:rsidR="009A05A0" w:rsidRDefault="009A05A0" w:rsidP="007E288C">
            <w:pPr>
              <w:spacing w:after="40"/>
            </w:pPr>
            <w:r>
              <w:rPr>
                <w:sz w:val="18"/>
                <w:szCs w:val="18"/>
              </w:rPr>
              <w:t>Australia / Malaysia</w:t>
            </w:r>
          </w:p>
        </w:tc>
        <w:tc>
          <w:tcPr>
            <w:tcW w:w="42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21F0DB1D" w14:textId="77777777" w:rsidR="009A05A0" w:rsidRDefault="009A05A0" w:rsidP="007E288C">
            <w:pPr>
              <w:spacing w:after="40"/>
            </w:pPr>
            <w:r>
              <w:rPr>
                <w:sz w:val="18"/>
                <w:szCs w:val="18"/>
              </w:rPr>
              <w:t>Only significant non-Chinese NdPr producer at commercial scale. Processing at LAMP, Malaysia; second facility at Kalgoorlie, WA under construction; DoD-backed heavy REE circuit at Seadrift, Texas targeting Tb/Dy for defence. Insufficient to close the Western deficit in 2026.</w:t>
            </w:r>
          </w:p>
        </w:tc>
        <w:tc>
          <w:tcPr>
            <w:tcW w:w="176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3012A700" w14:textId="77777777" w:rsidR="009A05A0" w:rsidRDefault="009A05A0" w:rsidP="007E288C">
            <w:pPr>
              <w:spacing w:after="40"/>
            </w:pPr>
            <w:r>
              <w:rPr>
                <w:sz w:val="18"/>
                <w:szCs w:val="18"/>
              </w:rPr>
              <w:t>Competitor for Western offtake; demonstrates that Mt Weld–grade deposits can reach scale. Lynas does not currently process eudialyte.</w:t>
            </w:r>
          </w:p>
        </w:tc>
      </w:tr>
      <w:tr w:rsidR="009A05A0" w14:paraId="551DB440" w14:textId="77777777" w:rsidTr="007E288C">
        <w:tblPrEx>
          <w:tblCellMar>
            <w:top w:w="0" w:type="dxa"/>
            <w:bottom w:w="0" w:type="dxa"/>
          </w:tblCellMar>
        </w:tblPrEx>
        <w:tc>
          <w:tcPr>
            <w:tcW w:w="19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7320A7BC" w14:textId="77777777" w:rsidR="009A05A0" w:rsidRDefault="009A05A0" w:rsidP="007E288C">
            <w:pPr>
              <w:spacing w:after="40"/>
            </w:pPr>
            <w:r>
              <w:rPr>
                <w:b/>
                <w:bCs/>
                <w:sz w:val="18"/>
                <w:szCs w:val="18"/>
              </w:rPr>
              <w:t>Arafura — Nolans</w:t>
            </w:r>
          </w:p>
        </w:tc>
        <w:tc>
          <w:tcPr>
            <w:tcW w:w="15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46CFBB1A" w14:textId="77777777" w:rsidR="009A05A0" w:rsidRDefault="009A05A0" w:rsidP="007E288C">
            <w:pPr>
              <w:spacing w:after="40"/>
            </w:pPr>
            <w:r>
              <w:rPr>
                <w:sz w:val="18"/>
                <w:szCs w:val="18"/>
              </w:rPr>
              <w:t>Australia (NT)</w:t>
            </w:r>
          </w:p>
        </w:tc>
        <w:tc>
          <w:tcPr>
            <w:tcW w:w="42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2A49AC30" w14:textId="77777777" w:rsidR="009A05A0" w:rsidRDefault="009A05A0" w:rsidP="007E288C">
            <w:pPr>
              <w:spacing w:after="40"/>
            </w:pPr>
            <w:r>
              <w:rPr>
                <w:sz w:val="18"/>
                <w:szCs w:val="18"/>
              </w:rPr>
              <w:t>NdPr oxide targeted by 2027. Not yet at full output. Monazite/bastnäsite ore; conventional wet process.</w:t>
            </w:r>
          </w:p>
        </w:tc>
        <w:tc>
          <w:tcPr>
            <w:tcW w:w="176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675F7BCF" w14:textId="77777777" w:rsidR="009A05A0" w:rsidRDefault="009A05A0" w:rsidP="007E288C">
            <w:pPr>
              <w:spacing w:after="40"/>
            </w:pPr>
            <w:r>
              <w:rPr>
                <w:sz w:val="18"/>
                <w:szCs w:val="18"/>
              </w:rPr>
              <w:t>Comparable scale development; illustrates permitting and financing timelines.</w:t>
            </w:r>
          </w:p>
        </w:tc>
      </w:tr>
      <w:tr w:rsidR="009A05A0" w14:paraId="1CD38071" w14:textId="77777777" w:rsidTr="007E288C">
        <w:tblPrEx>
          <w:tblCellMar>
            <w:top w:w="0" w:type="dxa"/>
            <w:bottom w:w="0" w:type="dxa"/>
          </w:tblCellMar>
        </w:tblPrEx>
        <w:tc>
          <w:tcPr>
            <w:tcW w:w="19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6F98E559" w14:textId="77777777" w:rsidR="009A05A0" w:rsidRDefault="009A05A0" w:rsidP="007E288C">
            <w:pPr>
              <w:spacing w:after="40"/>
            </w:pPr>
            <w:r>
              <w:rPr>
                <w:b/>
                <w:bCs/>
                <w:sz w:val="18"/>
                <w:szCs w:val="18"/>
              </w:rPr>
              <w:t>Energy Fuels — White Mesa</w:t>
            </w:r>
          </w:p>
        </w:tc>
        <w:tc>
          <w:tcPr>
            <w:tcW w:w="15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57A368F6" w14:textId="77777777" w:rsidR="009A05A0" w:rsidRDefault="009A05A0" w:rsidP="007E288C">
            <w:pPr>
              <w:spacing w:after="40"/>
            </w:pPr>
            <w:r>
              <w:rPr>
                <w:sz w:val="18"/>
                <w:szCs w:val="18"/>
              </w:rPr>
              <w:t>USA (Utah)</w:t>
            </w:r>
          </w:p>
        </w:tc>
        <w:tc>
          <w:tcPr>
            <w:tcW w:w="42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32FE9948" w14:textId="77777777" w:rsidR="009A05A0" w:rsidRDefault="009A05A0" w:rsidP="007E288C">
            <w:pPr>
              <w:spacing w:after="40"/>
            </w:pPr>
            <w:r>
              <w:rPr>
                <w:sz w:val="18"/>
                <w:szCs w:val="18"/>
              </w:rPr>
              <w:t>Monazite processing pivot; produces mixed RE carbonate for Neo Performance Materials (Silmet, Estonia). Demonstrates the “crack in Greenland, ship to Estonia” pathway used in the Sarfartoq/SILA concept.</w:t>
            </w:r>
          </w:p>
        </w:tc>
        <w:tc>
          <w:tcPr>
            <w:tcW w:w="176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6C4B38EB" w14:textId="77777777" w:rsidR="009A05A0" w:rsidRDefault="009A05A0" w:rsidP="007E288C">
            <w:pPr>
              <w:spacing w:after="40"/>
            </w:pPr>
            <w:r>
              <w:rPr>
                <w:sz w:val="18"/>
                <w:szCs w:val="18"/>
              </w:rPr>
              <w:t xml:space="preserve">The Neo/Silmet route already receives US monazite carbonate — direct market evidence </w:t>
            </w:r>
            <w:r>
              <w:rPr>
                <w:sz w:val="18"/>
                <w:szCs w:val="18"/>
              </w:rPr>
              <w:lastRenderedPageBreak/>
              <w:t>for the SILA concentrate-for-export concept.</w:t>
            </w:r>
          </w:p>
        </w:tc>
      </w:tr>
      <w:tr w:rsidR="009A05A0" w14:paraId="3981E05D" w14:textId="77777777" w:rsidTr="007E288C">
        <w:tblPrEx>
          <w:tblCellMar>
            <w:top w:w="0" w:type="dxa"/>
            <w:bottom w:w="0" w:type="dxa"/>
          </w:tblCellMar>
        </w:tblPrEx>
        <w:tc>
          <w:tcPr>
            <w:tcW w:w="19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78F32645" w14:textId="77777777" w:rsidR="009A05A0" w:rsidRDefault="009A05A0" w:rsidP="007E288C">
            <w:pPr>
              <w:spacing w:after="40"/>
            </w:pPr>
            <w:r>
              <w:rPr>
                <w:b/>
                <w:bCs/>
                <w:sz w:val="18"/>
                <w:szCs w:val="18"/>
              </w:rPr>
              <w:lastRenderedPageBreak/>
              <w:t>Neo Performance Materials — Silmet</w:t>
            </w:r>
          </w:p>
        </w:tc>
        <w:tc>
          <w:tcPr>
            <w:tcW w:w="15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23102040" w14:textId="77777777" w:rsidR="009A05A0" w:rsidRDefault="009A05A0" w:rsidP="007E288C">
            <w:pPr>
              <w:spacing w:after="40"/>
            </w:pPr>
            <w:r>
              <w:rPr>
                <w:sz w:val="18"/>
                <w:szCs w:val="18"/>
              </w:rPr>
              <w:t>Estonia</w:t>
            </w:r>
          </w:p>
        </w:tc>
        <w:tc>
          <w:tcPr>
            <w:tcW w:w="42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3CB20267" w14:textId="77777777" w:rsidR="009A05A0" w:rsidRDefault="009A05A0" w:rsidP="007E288C">
            <w:pPr>
              <w:spacing w:after="40"/>
            </w:pPr>
            <w:r>
              <w:rPr>
                <w:sz w:val="18"/>
                <w:szCs w:val="18"/>
              </w:rPr>
              <w:t>Only large-scale rare earth separation plant in Europe; produces separated NdPr, Tb, Dy and other oxides for European magnet makers. Feedstock currently from Energy Fuels (monazite carbonate).</w:t>
            </w:r>
          </w:p>
        </w:tc>
        <w:tc>
          <w:tcPr>
            <w:tcW w:w="176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14130A61" w14:textId="77777777" w:rsidR="009A05A0" w:rsidRDefault="009A05A0" w:rsidP="007E288C">
            <w:pPr>
              <w:spacing w:after="40"/>
            </w:pPr>
            <w:r>
              <w:rPr>
                <w:sz w:val="18"/>
                <w:szCs w:val="18"/>
              </w:rPr>
              <w:t xml:space="preserve">SILA’s most plausible near-term </w:t>
            </w:r>
            <w:proofErr w:type="spellStart"/>
            <w:r>
              <w:rPr>
                <w:sz w:val="18"/>
                <w:szCs w:val="18"/>
              </w:rPr>
              <w:t>offtaker</w:t>
            </w:r>
            <w:proofErr w:type="spellEnd"/>
            <w:r>
              <w:rPr>
                <w:sz w:val="18"/>
                <w:szCs w:val="18"/>
              </w:rPr>
              <w:t xml:space="preserve"> for eudialyte concentrate. Critical for RPEEE and payability assessment.</w:t>
            </w:r>
          </w:p>
        </w:tc>
      </w:tr>
      <w:tr w:rsidR="009A05A0" w14:paraId="0A51485E" w14:textId="77777777" w:rsidTr="007E288C">
        <w:tblPrEx>
          <w:tblCellMar>
            <w:top w:w="0" w:type="dxa"/>
            <w:bottom w:w="0" w:type="dxa"/>
          </w:tblCellMar>
        </w:tblPrEx>
        <w:tc>
          <w:tcPr>
            <w:tcW w:w="19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4689214F" w14:textId="77777777" w:rsidR="009A05A0" w:rsidRDefault="009A05A0" w:rsidP="007E288C">
            <w:pPr>
              <w:spacing w:after="40"/>
            </w:pPr>
            <w:r>
              <w:rPr>
                <w:b/>
                <w:bCs/>
                <w:sz w:val="18"/>
                <w:szCs w:val="18"/>
              </w:rPr>
              <w:t>LKAB — Per Geijer</w:t>
            </w:r>
          </w:p>
        </w:tc>
        <w:tc>
          <w:tcPr>
            <w:tcW w:w="15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15CF9F28" w14:textId="77777777" w:rsidR="009A05A0" w:rsidRDefault="009A05A0" w:rsidP="007E288C">
            <w:pPr>
              <w:spacing w:after="40"/>
            </w:pPr>
            <w:r>
              <w:rPr>
                <w:sz w:val="18"/>
                <w:szCs w:val="18"/>
              </w:rPr>
              <w:t>Sweden</w:t>
            </w:r>
          </w:p>
        </w:tc>
        <w:tc>
          <w:tcPr>
            <w:tcW w:w="42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591971A2" w14:textId="77777777" w:rsidR="009A05A0" w:rsidRDefault="009A05A0" w:rsidP="007E288C">
            <w:pPr>
              <w:spacing w:after="40"/>
            </w:pPr>
            <w:r>
              <w:rPr>
                <w:sz w:val="18"/>
                <w:szCs w:val="18"/>
              </w:rPr>
              <w:t>Significant oxide reserves; development estimated a decade away. No commercial-scale separator in Europe.</w:t>
            </w:r>
          </w:p>
        </w:tc>
        <w:tc>
          <w:tcPr>
            <w:tcW w:w="176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40294538" w14:textId="77777777" w:rsidR="009A05A0" w:rsidRDefault="009A05A0" w:rsidP="007E288C">
            <w:pPr>
              <w:spacing w:after="40"/>
            </w:pPr>
            <w:r>
              <w:rPr>
                <w:sz w:val="18"/>
                <w:szCs w:val="18"/>
              </w:rPr>
              <w:t>Illustrates Europe’s structural deficit in REE processing — strengthens the case for Greenland supply to the EU.</w:t>
            </w:r>
          </w:p>
        </w:tc>
      </w:tr>
      <w:tr w:rsidR="009A05A0" w14:paraId="2560FF08" w14:textId="77777777" w:rsidTr="007E288C">
        <w:tblPrEx>
          <w:tblCellMar>
            <w:top w:w="0" w:type="dxa"/>
            <w:bottom w:w="0" w:type="dxa"/>
          </w:tblCellMar>
        </w:tblPrEx>
        <w:tc>
          <w:tcPr>
            <w:tcW w:w="19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6B51FB83" w14:textId="77777777" w:rsidR="009A05A0" w:rsidRDefault="009A05A0" w:rsidP="007E288C">
            <w:pPr>
              <w:spacing w:after="40"/>
            </w:pPr>
            <w:r>
              <w:rPr>
                <w:b/>
                <w:bCs/>
                <w:sz w:val="18"/>
                <w:szCs w:val="18"/>
              </w:rPr>
              <w:t xml:space="preserve">Ucore — </w:t>
            </w:r>
            <w:proofErr w:type="spellStart"/>
            <w:r>
              <w:rPr>
                <w:b/>
                <w:bCs/>
                <w:sz w:val="18"/>
                <w:szCs w:val="18"/>
              </w:rPr>
              <w:t>RapidSX</w:t>
            </w:r>
            <w:proofErr w:type="spellEnd"/>
            <w:r>
              <w:rPr>
                <w:b/>
                <w:bCs/>
                <w:sz w:val="18"/>
                <w:szCs w:val="18"/>
              </w:rPr>
              <w:t xml:space="preserve"> / Louisiana</w:t>
            </w:r>
          </w:p>
        </w:tc>
        <w:tc>
          <w:tcPr>
            <w:tcW w:w="15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432AC7BA" w14:textId="77777777" w:rsidR="009A05A0" w:rsidRDefault="009A05A0" w:rsidP="007E288C">
            <w:pPr>
              <w:spacing w:after="40"/>
            </w:pPr>
            <w:r>
              <w:rPr>
                <w:sz w:val="18"/>
                <w:szCs w:val="18"/>
              </w:rPr>
              <w:t>USA</w:t>
            </w:r>
          </w:p>
        </w:tc>
        <w:tc>
          <w:tcPr>
            <w:tcW w:w="42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5B3CFD11" w14:textId="77777777" w:rsidR="009A05A0" w:rsidRDefault="009A05A0" w:rsidP="007E288C">
            <w:pPr>
              <w:spacing w:after="40"/>
            </w:pPr>
            <w:r>
              <w:rPr>
                <w:sz w:val="18"/>
                <w:szCs w:val="18"/>
              </w:rPr>
              <w:t>Proprietary molecular-recognition separation platform; Stage 1 Louisiana facility targeting mid-2026; DoD-funded under Defence Production Act.</w:t>
            </w:r>
          </w:p>
        </w:tc>
        <w:tc>
          <w:tcPr>
            <w:tcW w:w="176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4DC54E7D" w14:textId="77777777" w:rsidR="009A05A0" w:rsidRDefault="009A05A0" w:rsidP="007E288C">
            <w:pPr>
              <w:spacing w:after="40"/>
            </w:pPr>
            <w:r>
              <w:rPr>
                <w:sz w:val="18"/>
                <w:szCs w:val="18"/>
              </w:rPr>
              <w:t>Alternative processing pathway for future SILA output if eudialyte carbonate or concentrate specifications match.</w:t>
            </w:r>
          </w:p>
        </w:tc>
      </w:tr>
      <w:tr w:rsidR="009A05A0" w14:paraId="73CDBE8D" w14:textId="77777777" w:rsidTr="007E288C">
        <w:tblPrEx>
          <w:tblCellMar>
            <w:top w:w="0" w:type="dxa"/>
            <w:bottom w:w="0" w:type="dxa"/>
          </w:tblCellMar>
        </w:tblPrEx>
        <w:tc>
          <w:tcPr>
            <w:tcW w:w="19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1524A5C8" w14:textId="77777777" w:rsidR="009A05A0" w:rsidRDefault="009A05A0" w:rsidP="007E288C">
            <w:pPr>
              <w:spacing w:after="40"/>
            </w:pPr>
            <w:r>
              <w:rPr>
                <w:b/>
                <w:bCs/>
                <w:sz w:val="18"/>
                <w:szCs w:val="18"/>
              </w:rPr>
              <w:t>Ionic Rare Earths — UK recycling</w:t>
            </w:r>
          </w:p>
        </w:tc>
        <w:tc>
          <w:tcPr>
            <w:tcW w:w="15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39F8B542" w14:textId="77777777" w:rsidR="009A05A0" w:rsidRDefault="009A05A0" w:rsidP="007E288C">
            <w:pPr>
              <w:spacing w:after="40"/>
            </w:pPr>
            <w:r>
              <w:rPr>
                <w:sz w:val="18"/>
                <w:szCs w:val="18"/>
              </w:rPr>
              <w:t>United Kingdom</w:t>
            </w:r>
          </w:p>
        </w:tc>
        <w:tc>
          <w:tcPr>
            <w:tcW w:w="42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154E8962" w14:textId="77777777" w:rsidR="009A05A0" w:rsidRDefault="009A05A0" w:rsidP="007E288C">
            <w:pPr>
              <w:spacing w:after="40"/>
            </w:pPr>
            <w:r>
              <w:rPr>
                <w:sz w:val="18"/>
                <w:szCs w:val="18"/>
              </w:rPr>
              <w:t>Commercial-scale separated magnet REE oxides from recycled materials. Low-capex modular design.</w:t>
            </w:r>
          </w:p>
        </w:tc>
        <w:tc>
          <w:tcPr>
            <w:tcW w:w="176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00F9375E" w14:textId="77777777" w:rsidR="009A05A0" w:rsidRDefault="009A05A0" w:rsidP="007E288C">
            <w:pPr>
              <w:spacing w:after="40"/>
            </w:pPr>
            <w:r>
              <w:rPr>
                <w:sz w:val="18"/>
                <w:szCs w:val="18"/>
              </w:rPr>
              <w:t>Demonstrates alternative supply pathway; not a primary competitor at SILA’s scale.</w:t>
            </w:r>
          </w:p>
        </w:tc>
      </w:tr>
    </w:tbl>
    <w:p w14:paraId="37142A46" w14:textId="77777777" w:rsidR="009A05A0" w:rsidRDefault="009A05A0" w:rsidP="009A05A0">
      <w:pPr>
        <w:spacing w:after="160"/>
      </w:pPr>
      <w:r>
        <w:t>No Western operation has yet achieved commercial separation of heavy REEs. The ex-China HREE bottleneck is expected to persist through at least 2026–2027 as new separation capacity is constructed and commissioned. This window is precisely the period during which SILA must advance its MRE and Pre-Feasibility Study.</w:t>
      </w:r>
    </w:p>
    <w:p w14:paraId="1BA698D2" w14:textId="77777777" w:rsidR="009A05A0" w:rsidRDefault="009A05A0" w:rsidP="009A05A0">
      <w:pPr>
        <w:pStyle w:val="Heading1"/>
      </w:pPr>
      <w:r>
        <w:t>3  Greenland as a Global REE Province</w:t>
      </w:r>
    </w:p>
    <w:p w14:paraId="61417E83" w14:textId="77777777" w:rsidR="009A05A0" w:rsidRDefault="009A05A0" w:rsidP="009A05A0">
      <w:pPr>
        <w:pStyle w:val="Heading2"/>
      </w:pPr>
      <w:r>
        <w:t>3.1  Geological endowment</w:t>
      </w:r>
    </w:p>
    <w:p w14:paraId="289F59B5" w14:textId="77777777" w:rsidR="009A05A0" w:rsidRDefault="009A05A0" w:rsidP="009A05A0">
      <w:pPr>
        <w:spacing w:after="160"/>
      </w:pPr>
      <w:r>
        <w:t>Greenland holds globally significant REE resources concentrated in the Gardar alkaline province of southern Greenland, where Mesoproterozoic alkaline intrusions have created ideal geochemical conditions for REE, zirconium, niobium and associated element enrichment. Official USGS estimates rank Greenland eighth globally in REE reserves, ahead of Thailand, Madagascar and Norway. However, as one data source notes, this fundamentally understates Greenland’s strategic importance because it measures only proven reserves rather than total geological potential.</w:t>
      </w:r>
    </w:p>
    <w:p w14:paraId="044140BC" w14:textId="77777777" w:rsidR="009A05A0" w:rsidRDefault="009A05A0" w:rsidP="009A05A0">
      <w:pPr>
        <w:spacing w:after="160"/>
      </w:pPr>
      <w:r>
        <w:t xml:space="preserve">The Ilímaussaq Alkaline Intrusive Complex alone (approximately 17 km by 8 km, approximately 1.13–1.16 billion years old) hosts multiple world-class project areas: Kvanefjeld (Energy Transition Minerals), Kringlerne/Killavaat (Tanbreez/Critical Metals Corp, NASDAQ: CRML) and the adjacent SILA Technology Project. Energy Transition Minerals has estimated the complex may hold up to </w:t>
      </w:r>
      <w:r>
        <w:lastRenderedPageBreak/>
        <w:t>25% of the world’s undiscovered rare earth deposits, second only to China. The Ilímaussaq Complex alone contains over 11 million tonnes of rare earth oxide equivalent, with concentrations exceeding 1.5% TREO. If higher geological range estimates prove accurate, Greenland would rank second globally in REE reserves, rivalling China’s 44 million metric tonnes.</w:t>
      </w:r>
    </w:p>
    <w:p w14:paraId="565D26D1" w14:textId="77777777" w:rsidR="009A05A0" w:rsidRDefault="009A05A0" w:rsidP="009A05A0">
      <w:pPr>
        <w:pStyle w:val="Heading2"/>
      </w:pPr>
      <w:r>
        <w:t>3.2  Greenland’s strategic positioning</w:t>
      </w:r>
    </w:p>
    <w:p w14:paraId="4EA6F472" w14:textId="77777777" w:rsidR="009A05A0" w:rsidRDefault="009A05A0" w:rsidP="009A05A0">
      <w:pPr>
        <w:spacing w:after="160"/>
      </w:pPr>
      <w:r>
        <w:t>Wood Mackenzie notes that, given Greenland’s geographical position between Europe and North America, rare earth mines could supply both regions: sharing financing and risk could benefit both sides, supporting the EU to meet Critical Raw Materials Act targets while helping the US improve security of supply. CSIS observes that vulnerabilities in US REE supply chains for defence and commercial needs have been at the forefront of policy in Washington, with President Trump acting through public–private partnerships (the MP Materials equity deal) and bilateral agreements, while deepening cooperation with mineral-rich countries expected to be a cornerstone of US foreign policy in 2026. Greenland is explicitly named in this context alongside Brazil, Australia, Saudi Arabia and Japan.</w:t>
      </w:r>
    </w:p>
    <w:p w14:paraId="75FC8F0E" w14:textId="77777777" w:rsidR="009A05A0" w:rsidRDefault="009A05A0" w:rsidP="009A05A0">
      <w:pPr>
        <w:spacing w:after="160"/>
      </w:pPr>
      <w:r>
        <w:t>The Atlantic Council frames Greenland’s deposits as globally significant and politically stable in a Western-aligned jurisdiction, while noting the structural challenge: outside Greenland’s few small cities, roads and railroads do not exist; transport depends almost entirely on ships and aircraft; and no large-scale critical mineral mine is currently operating. These observations define the challenge SILA and its peers must overcome, and they also define the competitive advantage of projects with coastal siting and fjord-based logistics — of which SILA is an example.</w:t>
      </w:r>
    </w:p>
    <w:p w14:paraId="7508FD86" w14:textId="77777777" w:rsidR="009A05A0" w:rsidRDefault="009A05A0" w:rsidP="009A05A0">
      <w:pPr>
        <w:pStyle w:val="Heading2"/>
      </w:pPr>
      <w:r>
        <w:t>3.3  The three challenges to Greenland REE development</w:t>
      </w:r>
    </w:p>
    <w:p w14:paraId="74F2FE07" w14:textId="77777777" w:rsidR="009A05A0" w:rsidRDefault="009A05A0" w:rsidP="009A05A0">
      <w:pPr>
        <w:spacing w:after="160"/>
      </w:pPr>
      <w:r>
        <w:t>Wood Mackenzie identifies three structural challenges that any Greenland REE project must navigate, all directly relevant to SILA:</w:t>
      </w:r>
    </w:p>
    <w:p w14:paraId="29085897" w14:textId="77777777" w:rsidR="009A05A0" w:rsidRDefault="009A05A0" w:rsidP="009A05A0">
      <w:pPr>
        <w:pStyle w:val="ListParagraph"/>
        <w:numPr>
          <w:ilvl w:val="0"/>
          <w:numId w:val="4"/>
        </w:numPr>
        <w:spacing w:after="100" w:line="276" w:lineRule="auto"/>
      </w:pPr>
      <w:r>
        <w:rPr>
          <w:b/>
          <w:bCs/>
          <w:sz w:val="19"/>
          <w:szCs w:val="19"/>
        </w:rPr>
        <w:t xml:space="preserve">Infrastructure deficit. </w:t>
      </w:r>
      <w:r>
        <w:rPr>
          <w:sz w:val="19"/>
          <w:szCs w:val="19"/>
        </w:rPr>
        <w:t>No roads, railways or grid power outside population centres. All logistics are maritime and airborne, raising construction cost, schedule risk and operating cost relative to continental projects. SILA’s response is the dry reagent-free flowsheet (lower power demand) and the coastal Tunulliarfik Fjord location (deep-water access without dredging).</w:t>
      </w:r>
    </w:p>
    <w:p w14:paraId="403B710C" w14:textId="77777777" w:rsidR="009A05A0" w:rsidRDefault="009A05A0" w:rsidP="009A05A0">
      <w:pPr>
        <w:pStyle w:val="ListParagraph"/>
        <w:numPr>
          <w:ilvl w:val="0"/>
          <w:numId w:val="4"/>
        </w:numPr>
        <w:spacing w:after="100" w:line="276" w:lineRule="auto"/>
      </w:pPr>
      <w:r>
        <w:rPr>
          <w:b/>
          <w:bCs/>
          <w:sz w:val="19"/>
          <w:szCs w:val="19"/>
        </w:rPr>
        <w:t xml:space="preserve">Processing dependency. </w:t>
      </w:r>
      <w:r>
        <w:rPr>
          <w:sz w:val="19"/>
          <w:szCs w:val="19"/>
        </w:rPr>
        <w:t>No separation plant in Europe or Greenland can currently process eudialyte concentrate at commercial scale. The nearest credible processor is Neo Performance Materials’ Silmet plant in Estonia — the only large-scale RE separator in Europe — which already receives monazite carbonate from Energy Fuels’ White Mesa mill. SILA’s concentrate would need to pass the same commercial threshold.</w:t>
      </w:r>
    </w:p>
    <w:p w14:paraId="436CAB2E" w14:textId="77777777" w:rsidR="009A05A0" w:rsidRDefault="009A05A0" w:rsidP="009A05A0">
      <w:pPr>
        <w:pStyle w:val="ListParagraph"/>
        <w:numPr>
          <w:ilvl w:val="0"/>
          <w:numId w:val="4"/>
        </w:numPr>
        <w:spacing w:after="100" w:line="276" w:lineRule="auto"/>
      </w:pPr>
      <w:r>
        <w:rPr>
          <w:b/>
          <w:bCs/>
          <w:sz w:val="19"/>
          <w:szCs w:val="19"/>
        </w:rPr>
        <w:t xml:space="preserve">Permitting and community. </w:t>
      </w:r>
      <w:r>
        <w:rPr>
          <w:sz w:val="19"/>
          <w:szCs w:val="19"/>
        </w:rPr>
        <w:t>Greenland’s Act on Mineral Activities imposes a structured, multi-stage permitting process culminating in an exploitation licence. The SILA ToR v3 has been submitted and is in pre-consultation; the 24-month statutory window to exploitation licence grant is running. This is the stage at which political and community risk crystallises.</w:t>
      </w:r>
    </w:p>
    <w:p w14:paraId="3AEFEB0A" w14:textId="77777777" w:rsidR="009A05A0" w:rsidRDefault="009A05A0" w:rsidP="009A05A0">
      <w:pPr>
        <w:pStyle w:val="Heading2"/>
      </w:pPr>
      <w:r>
        <w:t>3.4  Greenland REE projects: the competitive landscape</w:t>
      </w:r>
    </w:p>
    <w:p w14:paraId="2118A49E" w14:textId="77777777" w:rsidR="009A05A0" w:rsidRDefault="009A05A0" w:rsidP="009A05A0">
      <w:pPr>
        <w:spacing w:before="160" w:after="80"/>
      </w:pPr>
      <w:r>
        <w:rPr>
          <w:b/>
          <w:bCs/>
          <w:sz w:val="19"/>
          <w:szCs w:val="19"/>
        </w:rPr>
        <w:t>Table 3-1.  Principal REE projects in the Ilímaussaq and Gardar province (June 2026)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200"/>
        <w:gridCol w:w="3060"/>
        <w:gridCol w:w="1700"/>
      </w:tblGrid>
      <w:tr w:rsidR="009A05A0" w14:paraId="521D36B0" w14:textId="77777777" w:rsidTr="007E288C">
        <w:tblPrEx>
          <w:tblCellMar>
            <w:top w:w="0" w:type="dxa"/>
            <w:bottom w:w="0" w:type="dxa"/>
          </w:tblCellMar>
        </w:tblPrEx>
        <w:trPr>
          <w:tblHeader/>
        </w:trPr>
        <w:tc>
          <w:tcPr>
            <w:tcW w:w="2400" w:type="dxa"/>
            <w:tcBorders>
              <w:top w:val="single" w:sz="2" w:space="0" w:color="B7C3CC"/>
              <w:left w:val="single" w:sz="2" w:space="0" w:color="B7C3CC"/>
              <w:bottom w:val="single" w:sz="2" w:space="0" w:color="B7C3CC"/>
              <w:right w:val="single" w:sz="2" w:space="0" w:color="B7C3CC"/>
            </w:tcBorders>
            <w:shd w:val="clear" w:color="auto" w:fill="1F3A52"/>
            <w:tcMar>
              <w:top w:w="70" w:type="dxa"/>
              <w:left w:w="110" w:type="dxa"/>
              <w:bottom w:w="70" w:type="dxa"/>
              <w:right w:w="110" w:type="dxa"/>
            </w:tcMar>
            <w:vAlign w:val="center"/>
          </w:tcPr>
          <w:p w14:paraId="49700DE6" w14:textId="77777777" w:rsidR="009A05A0" w:rsidRDefault="009A05A0" w:rsidP="007E288C">
            <w:pPr>
              <w:spacing w:after="40"/>
            </w:pPr>
            <w:r>
              <w:rPr>
                <w:b/>
                <w:bCs/>
                <w:color w:val="FFFFFF"/>
                <w:sz w:val="18"/>
                <w:szCs w:val="18"/>
              </w:rPr>
              <w:t>Project / operator</w:t>
            </w:r>
          </w:p>
        </w:tc>
        <w:tc>
          <w:tcPr>
            <w:tcW w:w="2200" w:type="dxa"/>
            <w:tcBorders>
              <w:top w:val="single" w:sz="2" w:space="0" w:color="B7C3CC"/>
              <w:left w:val="single" w:sz="2" w:space="0" w:color="B7C3CC"/>
              <w:bottom w:val="single" w:sz="2" w:space="0" w:color="B7C3CC"/>
              <w:right w:val="single" w:sz="2" w:space="0" w:color="B7C3CC"/>
            </w:tcBorders>
            <w:shd w:val="clear" w:color="auto" w:fill="1F3A52"/>
            <w:tcMar>
              <w:top w:w="70" w:type="dxa"/>
              <w:left w:w="110" w:type="dxa"/>
              <w:bottom w:w="70" w:type="dxa"/>
              <w:right w:w="110" w:type="dxa"/>
            </w:tcMar>
            <w:vAlign w:val="center"/>
          </w:tcPr>
          <w:p w14:paraId="6AD21BDA" w14:textId="77777777" w:rsidR="009A05A0" w:rsidRDefault="009A05A0" w:rsidP="007E288C">
            <w:pPr>
              <w:spacing w:after="40"/>
            </w:pPr>
            <w:r>
              <w:rPr>
                <w:b/>
                <w:bCs/>
                <w:color w:val="FFFFFF"/>
                <w:sz w:val="18"/>
                <w:szCs w:val="18"/>
              </w:rPr>
              <w:t>Deposit type</w:t>
            </w:r>
          </w:p>
        </w:tc>
        <w:tc>
          <w:tcPr>
            <w:tcW w:w="3060" w:type="dxa"/>
            <w:tcBorders>
              <w:top w:val="single" w:sz="2" w:space="0" w:color="B7C3CC"/>
              <w:left w:val="single" w:sz="2" w:space="0" w:color="B7C3CC"/>
              <w:bottom w:val="single" w:sz="2" w:space="0" w:color="B7C3CC"/>
              <w:right w:val="single" w:sz="2" w:space="0" w:color="B7C3CC"/>
            </w:tcBorders>
            <w:shd w:val="clear" w:color="auto" w:fill="1F3A52"/>
            <w:tcMar>
              <w:top w:w="70" w:type="dxa"/>
              <w:left w:w="110" w:type="dxa"/>
              <w:bottom w:w="70" w:type="dxa"/>
              <w:right w:w="110" w:type="dxa"/>
            </w:tcMar>
            <w:vAlign w:val="center"/>
          </w:tcPr>
          <w:p w14:paraId="1983583C" w14:textId="77777777" w:rsidR="009A05A0" w:rsidRDefault="009A05A0" w:rsidP="007E288C">
            <w:pPr>
              <w:spacing w:after="40"/>
            </w:pPr>
            <w:r>
              <w:rPr>
                <w:b/>
                <w:bCs/>
                <w:color w:val="FFFFFF"/>
                <w:sz w:val="18"/>
                <w:szCs w:val="18"/>
              </w:rPr>
              <w:t>Status</w:t>
            </w:r>
          </w:p>
        </w:tc>
        <w:tc>
          <w:tcPr>
            <w:tcW w:w="1700" w:type="dxa"/>
            <w:tcBorders>
              <w:top w:val="single" w:sz="2" w:space="0" w:color="B7C3CC"/>
              <w:left w:val="single" w:sz="2" w:space="0" w:color="B7C3CC"/>
              <w:bottom w:val="single" w:sz="2" w:space="0" w:color="B7C3CC"/>
              <w:right w:val="single" w:sz="2" w:space="0" w:color="B7C3CC"/>
            </w:tcBorders>
            <w:shd w:val="clear" w:color="auto" w:fill="1F3A52"/>
            <w:tcMar>
              <w:top w:w="70" w:type="dxa"/>
              <w:left w:w="110" w:type="dxa"/>
              <w:bottom w:w="70" w:type="dxa"/>
              <w:right w:w="110" w:type="dxa"/>
            </w:tcMar>
            <w:vAlign w:val="center"/>
          </w:tcPr>
          <w:p w14:paraId="5EDCA7C6" w14:textId="77777777" w:rsidR="009A05A0" w:rsidRDefault="009A05A0" w:rsidP="007E288C">
            <w:pPr>
              <w:spacing w:after="40"/>
            </w:pPr>
            <w:r>
              <w:rPr>
                <w:b/>
                <w:bCs/>
                <w:color w:val="FFFFFF"/>
                <w:sz w:val="18"/>
                <w:szCs w:val="18"/>
              </w:rPr>
              <w:t>Notes</w:t>
            </w:r>
          </w:p>
        </w:tc>
      </w:tr>
      <w:tr w:rsidR="009A05A0" w14:paraId="54A76CFE" w14:textId="77777777" w:rsidTr="007E288C">
        <w:tblPrEx>
          <w:tblCellMar>
            <w:top w:w="0" w:type="dxa"/>
            <w:bottom w:w="0" w:type="dxa"/>
          </w:tblCellMar>
        </w:tblPrEx>
        <w:tc>
          <w:tcPr>
            <w:tcW w:w="24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45C7DD05" w14:textId="77777777" w:rsidR="009A05A0" w:rsidRDefault="009A05A0" w:rsidP="007E288C">
            <w:pPr>
              <w:spacing w:after="40"/>
            </w:pPr>
            <w:r>
              <w:rPr>
                <w:b/>
                <w:bCs/>
                <w:sz w:val="18"/>
                <w:szCs w:val="18"/>
              </w:rPr>
              <w:t>Kvanefjeld / Energy Transition Minerals (ETM)</w:t>
            </w:r>
          </w:p>
        </w:tc>
        <w:tc>
          <w:tcPr>
            <w:tcW w:w="22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1F76F5EA" w14:textId="77777777" w:rsidR="009A05A0" w:rsidRDefault="009A05A0" w:rsidP="007E288C">
            <w:pPr>
              <w:spacing w:after="40"/>
            </w:pPr>
            <w:r>
              <w:rPr>
                <w:sz w:val="18"/>
                <w:szCs w:val="18"/>
              </w:rPr>
              <w:t>Lujavrite-hosted REE, U, Zn — conventional hydromet</w:t>
            </w:r>
          </w:p>
        </w:tc>
        <w:tc>
          <w:tcPr>
            <w:tcW w:w="306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31C4D778" w14:textId="77777777" w:rsidR="009A05A0" w:rsidRDefault="009A05A0" w:rsidP="007E288C">
            <w:pPr>
              <w:spacing w:after="40"/>
            </w:pPr>
            <w:r>
              <w:rPr>
                <w:sz w:val="18"/>
                <w:szCs w:val="18"/>
              </w:rPr>
              <w:t>Stalled. Exploitation licence refused 2021 on uranium grounds; legal dispute ongoing. Shenghe Resources (China) holds ~6.5% of ETM.</w:t>
            </w:r>
          </w:p>
        </w:tc>
        <w:tc>
          <w:tcPr>
            <w:tcW w:w="17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678AD8AE" w14:textId="77777777" w:rsidR="009A05A0" w:rsidRDefault="009A05A0" w:rsidP="007E288C">
            <w:pPr>
              <w:spacing w:after="40"/>
            </w:pPr>
            <w:r>
              <w:rPr>
                <w:sz w:val="18"/>
                <w:szCs w:val="18"/>
              </w:rPr>
              <w:t xml:space="preserve">The uranium refusal and Chinese shareholding are cautionary precedents; </w:t>
            </w:r>
            <w:r>
              <w:rPr>
                <w:sz w:val="18"/>
                <w:szCs w:val="18"/>
              </w:rPr>
              <w:lastRenderedPageBreak/>
              <w:t>SILA’s dry flowsheet and low-uranium kakortokite target partially address both concerns.</w:t>
            </w:r>
          </w:p>
        </w:tc>
      </w:tr>
      <w:tr w:rsidR="009A05A0" w14:paraId="20B7C220" w14:textId="77777777" w:rsidTr="007E288C">
        <w:tblPrEx>
          <w:tblCellMar>
            <w:top w:w="0" w:type="dxa"/>
            <w:bottom w:w="0" w:type="dxa"/>
          </w:tblCellMar>
        </w:tblPrEx>
        <w:tc>
          <w:tcPr>
            <w:tcW w:w="24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360D27B0" w14:textId="77777777" w:rsidR="009A05A0" w:rsidRDefault="009A05A0" w:rsidP="007E288C">
            <w:pPr>
              <w:spacing w:after="40"/>
            </w:pPr>
            <w:r>
              <w:rPr>
                <w:b/>
                <w:bCs/>
                <w:sz w:val="18"/>
                <w:szCs w:val="18"/>
              </w:rPr>
              <w:lastRenderedPageBreak/>
              <w:t>Kringlerne (Killavaat Alannguat) / Tanbreez / Critical Metals Corp (CRML, NASDAQ)</w:t>
            </w:r>
          </w:p>
        </w:tc>
        <w:tc>
          <w:tcPr>
            <w:tcW w:w="22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31B8557E" w14:textId="77777777" w:rsidR="009A05A0" w:rsidRDefault="009A05A0" w:rsidP="007E288C">
            <w:pPr>
              <w:spacing w:after="40"/>
            </w:pPr>
            <w:r>
              <w:rPr>
                <w:sz w:val="18"/>
                <w:szCs w:val="18"/>
              </w:rPr>
              <w:t>Kakortokite-hosted eudialyte (light and heavy REE, Zr, Nb)</w:t>
            </w:r>
          </w:p>
        </w:tc>
        <w:tc>
          <w:tcPr>
            <w:tcW w:w="306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07B4925A" w14:textId="77777777" w:rsidR="009A05A0" w:rsidRDefault="009A05A0" w:rsidP="007E288C">
            <w:pPr>
              <w:spacing w:after="40"/>
            </w:pPr>
            <w:r>
              <w:rPr>
                <w:sz w:val="18"/>
                <w:szCs w:val="18"/>
              </w:rPr>
              <w:t>Exploitation licence granted. Mining and closure plans required end-2025; financial guarantees June 2026; mining targeted from end-2028. US ownership (Trump administration lobbied against Chinese acquisition in January 2025).</w:t>
            </w:r>
          </w:p>
        </w:tc>
        <w:tc>
          <w:tcPr>
            <w:tcW w:w="17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355F366D" w14:textId="77777777" w:rsidR="009A05A0" w:rsidRDefault="009A05A0" w:rsidP="007E288C">
            <w:pPr>
              <w:spacing w:after="40"/>
            </w:pPr>
            <w:r>
              <w:rPr>
                <w:sz w:val="18"/>
                <w:szCs w:val="18"/>
              </w:rPr>
              <w:t>SILA and Tanbreez share the same Ilímaussaq geological system and adjacent tenements. Tanbreez’s licence grant is precedent-setting for kakortokite projects. Agricola is QP for both the Tanbreez TRS and SILA PFS — conflict of interest managed under VALMIN 2015.</w:t>
            </w:r>
          </w:p>
        </w:tc>
      </w:tr>
      <w:tr w:rsidR="009A05A0" w14:paraId="0031EED3" w14:textId="77777777" w:rsidTr="007E288C">
        <w:tblPrEx>
          <w:tblCellMar>
            <w:top w:w="0" w:type="dxa"/>
            <w:bottom w:w="0" w:type="dxa"/>
          </w:tblCellMar>
        </w:tblPrEx>
        <w:tc>
          <w:tcPr>
            <w:tcW w:w="24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449F06E3" w14:textId="77777777" w:rsidR="009A05A0" w:rsidRDefault="009A05A0" w:rsidP="007E288C">
            <w:pPr>
              <w:spacing w:after="40"/>
            </w:pPr>
            <w:r>
              <w:rPr>
                <w:b/>
                <w:bCs/>
                <w:sz w:val="18"/>
                <w:szCs w:val="18"/>
              </w:rPr>
              <w:t>SILA Technology Project / Rimbal Pty Ltd</w:t>
            </w:r>
          </w:p>
        </w:tc>
        <w:tc>
          <w:tcPr>
            <w:tcW w:w="22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23D81453" w14:textId="77777777" w:rsidR="009A05A0" w:rsidRDefault="009A05A0" w:rsidP="007E288C">
            <w:pPr>
              <w:spacing w:after="40"/>
            </w:pPr>
            <w:r>
              <w:rPr>
                <w:sz w:val="18"/>
                <w:szCs w:val="18"/>
              </w:rPr>
              <w:t>Kakortokite-hosted eudialyte (REE, Zr, Nb) — dry magnetic separation</w:t>
            </w:r>
          </w:p>
        </w:tc>
        <w:tc>
          <w:tcPr>
            <w:tcW w:w="306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3390702C" w14:textId="77777777" w:rsidR="009A05A0" w:rsidRDefault="009A05A0" w:rsidP="007E288C">
            <w:pPr>
              <w:spacing w:after="40"/>
            </w:pPr>
            <w:r>
              <w:rPr>
                <w:sz w:val="18"/>
                <w:szCs w:val="18"/>
              </w:rPr>
              <w:t>ToR v3 submitted April 2026; in pre-consultation. MRE programme underway (target: 6 months from ToR approval). PFS in preparation, NIRAS lead.</w:t>
            </w:r>
          </w:p>
        </w:tc>
        <w:tc>
          <w:tcPr>
            <w:tcW w:w="17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472C0E6B" w14:textId="77777777" w:rsidR="009A05A0" w:rsidRDefault="009A05A0" w:rsidP="007E288C">
            <w:pPr>
              <w:spacing w:after="40"/>
            </w:pPr>
            <w:r>
              <w:rPr>
                <w:sz w:val="18"/>
                <w:szCs w:val="18"/>
              </w:rPr>
              <w:t>Coastal location on Tunulliarfik Fjord; dry flowsheet; adjacent to EALS and Lakseelv Corridor (Trinity T1–T3). No MRE or Reserve declared.</w:t>
            </w:r>
          </w:p>
        </w:tc>
      </w:tr>
      <w:tr w:rsidR="009A05A0" w14:paraId="447CE659" w14:textId="77777777" w:rsidTr="007E288C">
        <w:tblPrEx>
          <w:tblCellMar>
            <w:top w:w="0" w:type="dxa"/>
            <w:bottom w:w="0" w:type="dxa"/>
          </w:tblCellMar>
        </w:tblPrEx>
        <w:tc>
          <w:tcPr>
            <w:tcW w:w="24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16A3C0DD" w14:textId="77777777" w:rsidR="009A05A0" w:rsidRDefault="009A05A0" w:rsidP="007E288C">
            <w:pPr>
              <w:spacing w:after="40"/>
            </w:pPr>
            <w:r>
              <w:rPr>
                <w:b/>
                <w:bCs/>
                <w:sz w:val="18"/>
                <w:szCs w:val="18"/>
              </w:rPr>
              <w:t>Sarfartoq / Greenland Mines Ltd (GRML)</w:t>
            </w:r>
          </w:p>
        </w:tc>
        <w:tc>
          <w:tcPr>
            <w:tcW w:w="22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232A9835" w14:textId="77777777" w:rsidR="009A05A0" w:rsidRDefault="009A05A0" w:rsidP="007E288C">
            <w:pPr>
              <w:spacing w:after="40"/>
            </w:pPr>
            <w:r>
              <w:rPr>
                <w:sz w:val="18"/>
                <w:szCs w:val="18"/>
              </w:rPr>
              <w:t>Carbonatite-hosted fluorocarbonates (Nd–Pr dominant)</w:t>
            </w:r>
          </w:p>
        </w:tc>
        <w:tc>
          <w:tcPr>
            <w:tcW w:w="306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341DFAC2" w14:textId="77777777" w:rsidR="009A05A0" w:rsidRDefault="009A05A0" w:rsidP="007E288C">
            <w:pPr>
              <w:spacing w:after="40"/>
            </w:pPr>
            <w:r>
              <w:rPr>
                <w:sz w:val="18"/>
                <w:szCs w:val="18"/>
              </w:rPr>
              <w:t>IAR/PEA (S-K 1300) in preparation (Agricola QP). MEL 2020-32 expires December 2026; renewal in progress. MRE being restated by R.G. Simpson.</w:t>
            </w:r>
          </w:p>
        </w:tc>
        <w:tc>
          <w:tcPr>
            <w:tcW w:w="17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7D29B7CB" w14:textId="77777777" w:rsidR="009A05A0" w:rsidRDefault="009A05A0" w:rsidP="007E288C">
            <w:pPr>
              <w:spacing w:after="40"/>
            </w:pPr>
            <w:r>
              <w:rPr>
                <w:sz w:val="18"/>
                <w:szCs w:val="18"/>
              </w:rPr>
              <w:t>Different geology and product (flotation concentrate vs magnetic concentrate). Both projects target the Neo/Silmet route.</w:t>
            </w:r>
          </w:p>
        </w:tc>
      </w:tr>
    </w:tbl>
    <w:p w14:paraId="069DCB10" w14:textId="77777777" w:rsidR="009A05A0" w:rsidRDefault="009A05A0" w:rsidP="009A05A0">
      <w:pPr>
        <w:pStyle w:val="Heading1"/>
        <w:pageBreakBefore/>
      </w:pPr>
      <w:r>
        <w:lastRenderedPageBreak/>
        <w:t>4  Eudialyte as a REE Host Mineral: Opportunities and Challenges</w:t>
      </w:r>
    </w:p>
    <w:p w14:paraId="6E83D969" w14:textId="77777777" w:rsidR="009A05A0" w:rsidRDefault="009A05A0" w:rsidP="009A05A0">
      <w:pPr>
        <w:pStyle w:val="Heading2"/>
      </w:pPr>
      <w:r>
        <w:t>4.1  The eudialyte advantage</w:t>
      </w:r>
    </w:p>
    <w:p w14:paraId="53387E9D" w14:textId="77777777" w:rsidR="009A05A0" w:rsidRDefault="009A05A0" w:rsidP="009A05A0">
      <w:pPr>
        <w:spacing w:after="160"/>
      </w:pPr>
      <w:r>
        <w:t>Eudialyte is a complex zirconium–niobium–rare earth silicate that is paramagnetic, making it amenable to high-intensity magnetic separation (HIMS) without reagents, flotation chemicals or hydrometallurgical circuits. This is SILA’s defining technical advantage over conventional REE beneficiation: the proposed dry flowsheet eliminates flotation, chemical leaching, wet tailings storage and acid plant infrastructure, substantially reducing capital cost, environmental risk and regulatory complexity — and the uranium and thorium management burden that doomed Kvanefjeld under Greenland’s regulatory framework.</w:t>
      </w:r>
    </w:p>
    <w:p w14:paraId="395E3569" w14:textId="77777777" w:rsidR="009A05A0" w:rsidRDefault="009A05A0" w:rsidP="009A05A0">
      <w:pPr>
        <w:spacing w:after="160"/>
      </w:pPr>
      <w:r>
        <w:t>The kakortokite layering at Ilímaussaq provides the additional advantage of strong colour and magnetic contrast between the red (eudialyte), white (feldspar) and black (arfvedsonite) units, enabling visual and instrumental grade control without complex mineralogical separation. The gently dipping (10–20°), laterally continuous, near-surface geometry is favourable for open pit mining with low initial strip ratios.</w:t>
      </w:r>
    </w:p>
    <w:p w14:paraId="6E33D7F5" w14:textId="77777777" w:rsidR="009A05A0" w:rsidRDefault="009A05A0" w:rsidP="009A05A0">
      <w:pPr>
        <w:spacing w:after="160"/>
      </w:pPr>
      <w:r>
        <w:t>At the SILA deposit, eudialyte carries REE, Zr, Nb, Ta, Hf and Ga as the principal hosted elements — a multi-product revenue stream that conventional carbonatite/bastnäsite deposits cannot offer. Zirconium in particular is a significant value carrier given current HREE supply chain pressure: the feldspar fraction and arfvedsonite concentrate offer additional product optionality, though commercial demand for arfvedsonite is limited and the feldspar market is conditioned on specification.</w:t>
      </w:r>
    </w:p>
    <w:p w14:paraId="55F0B189" w14:textId="77777777" w:rsidR="009A05A0" w:rsidRDefault="009A05A0" w:rsidP="009A05A0">
      <w:pPr>
        <w:pStyle w:val="Heading2"/>
      </w:pPr>
      <w:r>
        <w:t>4.2  The eudialyte challenge: an unproven commercial pathway</w:t>
      </w:r>
    </w:p>
    <w:p w14:paraId="0DD7C564" w14:textId="77777777" w:rsidR="009A05A0" w:rsidRDefault="009A05A0" w:rsidP="009A05A0">
      <w:pPr>
        <w:spacing w:after="160"/>
      </w:pPr>
      <w:r>
        <w:t>No eudialyte concentrate from any project has been sold commercially at scale. There are no published commodity benchmarks for eudialyte concentrate equivalent to the TREO assessments available for mixed REE carbonates or separated oxides. The number of processors globally with demonstrated eudialyte cracking capability is very small; the SILA PFS Non-NIRAS document identifies this as a key commercial risk: a single-counterparty dependency on Neo/Silmet (or an equivalent) for the primary revenue stream.</w:t>
      </w:r>
    </w:p>
    <w:p w14:paraId="29BC4108" w14:textId="77777777" w:rsidR="009A05A0" w:rsidRDefault="009A05A0" w:rsidP="009A05A0">
      <w:pPr>
        <w:spacing w:after="160"/>
      </w:pPr>
      <w:r>
        <w:t>The HIMS recovery performance on eudialyte is variable and ore-dependent: the phase is paramagnetic rather than ferromagnetic, requiring high field strengths, and liberation is sensitive to grind size. No locked-cycle metallurgical test data has been published for SILA ore; all processing parameters are conceptual pending SILA-specific testwork. The basket price methodology for eudialyte concentrate requires element-by-element payability assumptions that no separator has yet confirmed for this ore type.</w:t>
      </w:r>
    </w:p>
    <w:p w14:paraId="3617901F" w14:textId="77777777" w:rsidR="009A05A0" w:rsidRDefault="009A05A0" w:rsidP="009A05A0">
      <w:pPr>
        <w:spacing w:after="160"/>
      </w:pPr>
      <w:r>
        <w:t>These challenges are real but, in the QP’s assessment, addressable: they are the normal state of an early-stage project at PFS level, and the critical next steps — locked-cycle testwork, concentrate specification, and an indicative term sheet from Neo/Silmet — are well-defined, affordable, and within the control of the project team. The absence of a commercial precedent for eudialyte is a disclosure obligation, not a project-killer.</w:t>
      </w:r>
    </w:p>
    <w:p w14:paraId="4100C24A" w14:textId="77777777" w:rsidR="009A05A0" w:rsidRDefault="009A05A0" w:rsidP="009A05A0">
      <w:pPr>
        <w:pStyle w:val="Heading1"/>
        <w:pageBreakBefore/>
      </w:pPr>
      <w:r>
        <w:lastRenderedPageBreak/>
        <w:t>5  REE Pricing: Current Conditions and Long-Term Framework</w:t>
      </w:r>
    </w:p>
    <w:p w14:paraId="552A603B" w14:textId="77777777" w:rsidR="009A05A0" w:rsidRDefault="009A05A0" w:rsidP="009A05A0">
      <w:pPr>
        <w:pStyle w:val="Heading2"/>
      </w:pPr>
      <w:r>
        <w:t>5.1  The 2026 market</w:t>
      </w:r>
    </w:p>
    <w:p w14:paraId="55BA9EFC" w14:textId="77777777" w:rsidR="009A05A0" w:rsidRDefault="009A05A0" w:rsidP="009A05A0">
      <w:pPr>
        <w:spacing w:after="160"/>
      </w:pPr>
      <w:r>
        <w:t>NdPr oxide opened 2026 at approximately US$53/kg on Chinese domestic benchmarks and surged to approximately US$137–140/kg by end-April 2026 — a gain of approximately 160% year-to-date, among the most aggressive moves in the rare earth complex in recent years. The rally reflected a second consecutive year of structural NdPr deficit, MIIT quota constraints capping Chinese separation output, and accelerating magnet demand from 22.9 million forecast EV sales in 2026 (up 28% year-on-year). NdPr corrected approximately 21% in May 2026 to US$99.61/kg before firming again; CIF Rotterdam held at US$255/kg throughout, suggesting Western consumers were not distressed sellers. The NdPr deficit case remains structurally intact: China is holding mining and smelting quotas flat, and heavy REEs have not corrected at all.</w:t>
      </w:r>
    </w:p>
    <w:p w14:paraId="7372046F" w14:textId="77777777" w:rsidR="009A05A0" w:rsidRDefault="009A05A0" w:rsidP="009A05A0">
      <w:pPr>
        <w:spacing w:after="160"/>
      </w:pPr>
      <w:r>
        <w:t>The three-tier price structure now documented in the market — Chinese domestic (SMM), FOB China / international, and ex-China dislocation — is the pricing architecture that any Greenland project must navigate. SILA, as a Western-aligned project shipping concentrate to a European separator, will realise FOB-China/international-basis pricing; the dislocation tier is context for the High case but not a planning assumption.</w:t>
      </w:r>
    </w:p>
    <w:p w14:paraId="7820FCD3" w14:textId="77777777" w:rsidR="009A05A0" w:rsidRDefault="009A05A0" w:rsidP="009A05A0">
      <w:pPr>
        <w:spacing w:before="160" w:after="80"/>
      </w:pPr>
      <w:r>
        <w:rPr>
          <w:b/>
          <w:bCs/>
          <w:sz w:val="19"/>
          <w:szCs w:val="19"/>
        </w:rPr>
        <w:t>Table 5-1.  REE price landscape relevant to SILA (selected oxides, June 2026)</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2300"/>
        <w:gridCol w:w="2300"/>
        <w:gridCol w:w="2400"/>
        <w:gridCol w:w="1760"/>
      </w:tblGrid>
      <w:tr w:rsidR="009A05A0" w14:paraId="2F5264D3" w14:textId="77777777" w:rsidTr="007E288C">
        <w:tblPrEx>
          <w:tblCellMar>
            <w:top w:w="0" w:type="dxa"/>
            <w:bottom w:w="0" w:type="dxa"/>
          </w:tblCellMar>
        </w:tblPrEx>
        <w:trPr>
          <w:tblHeader/>
        </w:trPr>
        <w:tc>
          <w:tcPr>
            <w:tcW w:w="1600" w:type="dxa"/>
            <w:tcBorders>
              <w:top w:val="single" w:sz="2" w:space="0" w:color="B7C3CC"/>
              <w:left w:val="single" w:sz="2" w:space="0" w:color="B7C3CC"/>
              <w:bottom w:val="single" w:sz="2" w:space="0" w:color="B7C3CC"/>
              <w:right w:val="single" w:sz="2" w:space="0" w:color="B7C3CC"/>
            </w:tcBorders>
            <w:shd w:val="clear" w:color="auto" w:fill="1F3A52"/>
            <w:tcMar>
              <w:top w:w="70" w:type="dxa"/>
              <w:left w:w="110" w:type="dxa"/>
              <w:bottom w:w="70" w:type="dxa"/>
              <w:right w:w="110" w:type="dxa"/>
            </w:tcMar>
            <w:vAlign w:val="center"/>
          </w:tcPr>
          <w:p w14:paraId="24901713" w14:textId="77777777" w:rsidR="009A05A0" w:rsidRDefault="009A05A0" w:rsidP="007E288C">
            <w:pPr>
              <w:spacing w:after="40"/>
            </w:pPr>
            <w:r>
              <w:rPr>
                <w:b/>
                <w:bCs/>
                <w:color w:val="FFFFFF"/>
                <w:sz w:val="18"/>
                <w:szCs w:val="18"/>
              </w:rPr>
              <w:t>Oxide</w:t>
            </w:r>
          </w:p>
        </w:tc>
        <w:tc>
          <w:tcPr>
            <w:tcW w:w="2300" w:type="dxa"/>
            <w:tcBorders>
              <w:top w:val="single" w:sz="2" w:space="0" w:color="B7C3CC"/>
              <w:left w:val="single" w:sz="2" w:space="0" w:color="B7C3CC"/>
              <w:bottom w:val="single" w:sz="2" w:space="0" w:color="B7C3CC"/>
              <w:right w:val="single" w:sz="2" w:space="0" w:color="B7C3CC"/>
            </w:tcBorders>
            <w:shd w:val="clear" w:color="auto" w:fill="1F3A52"/>
            <w:tcMar>
              <w:top w:w="70" w:type="dxa"/>
              <w:left w:w="110" w:type="dxa"/>
              <w:bottom w:w="70" w:type="dxa"/>
              <w:right w:w="110" w:type="dxa"/>
            </w:tcMar>
            <w:vAlign w:val="center"/>
          </w:tcPr>
          <w:p w14:paraId="46D20773" w14:textId="77777777" w:rsidR="009A05A0" w:rsidRDefault="009A05A0" w:rsidP="007E288C">
            <w:pPr>
              <w:spacing w:after="40"/>
            </w:pPr>
            <w:r>
              <w:rPr>
                <w:b/>
                <w:bCs/>
                <w:color w:val="FFFFFF"/>
                <w:sz w:val="18"/>
                <w:szCs w:val="18"/>
              </w:rPr>
              <w:t>SMM domestic (Mar 2026)</w:t>
            </w:r>
          </w:p>
        </w:tc>
        <w:tc>
          <w:tcPr>
            <w:tcW w:w="2300" w:type="dxa"/>
            <w:tcBorders>
              <w:top w:val="single" w:sz="2" w:space="0" w:color="B7C3CC"/>
              <w:left w:val="single" w:sz="2" w:space="0" w:color="B7C3CC"/>
              <w:bottom w:val="single" w:sz="2" w:space="0" w:color="B7C3CC"/>
              <w:right w:val="single" w:sz="2" w:space="0" w:color="B7C3CC"/>
            </w:tcBorders>
            <w:shd w:val="clear" w:color="auto" w:fill="1F3A52"/>
            <w:tcMar>
              <w:top w:w="70" w:type="dxa"/>
              <w:left w:w="110" w:type="dxa"/>
              <w:bottom w:w="70" w:type="dxa"/>
              <w:right w:w="110" w:type="dxa"/>
            </w:tcMar>
            <w:vAlign w:val="center"/>
          </w:tcPr>
          <w:p w14:paraId="02748E90" w14:textId="77777777" w:rsidR="009A05A0" w:rsidRDefault="009A05A0" w:rsidP="007E288C">
            <w:pPr>
              <w:spacing w:after="40"/>
            </w:pPr>
            <w:r>
              <w:rPr>
                <w:b/>
                <w:bCs/>
                <w:color w:val="FFFFFF"/>
                <w:sz w:val="18"/>
                <w:szCs w:val="18"/>
              </w:rPr>
              <w:t xml:space="preserve">FOB China / </w:t>
            </w:r>
            <w:proofErr w:type="spellStart"/>
            <w:r>
              <w:rPr>
                <w:b/>
                <w:bCs/>
                <w:color w:val="FFFFFF"/>
                <w:sz w:val="18"/>
                <w:szCs w:val="18"/>
              </w:rPr>
              <w:t>intl</w:t>
            </w:r>
            <w:proofErr w:type="spellEnd"/>
            <w:r>
              <w:rPr>
                <w:b/>
                <w:bCs/>
                <w:color w:val="FFFFFF"/>
                <w:sz w:val="18"/>
                <w:szCs w:val="18"/>
              </w:rPr>
              <w:t xml:space="preserve"> (approx.)</w:t>
            </w:r>
          </w:p>
        </w:tc>
        <w:tc>
          <w:tcPr>
            <w:tcW w:w="2400" w:type="dxa"/>
            <w:tcBorders>
              <w:top w:val="single" w:sz="2" w:space="0" w:color="B7C3CC"/>
              <w:left w:val="single" w:sz="2" w:space="0" w:color="B7C3CC"/>
              <w:bottom w:val="single" w:sz="2" w:space="0" w:color="B7C3CC"/>
              <w:right w:val="single" w:sz="2" w:space="0" w:color="B7C3CC"/>
            </w:tcBorders>
            <w:shd w:val="clear" w:color="auto" w:fill="1F3A52"/>
            <w:tcMar>
              <w:top w:w="70" w:type="dxa"/>
              <w:left w:w="110" w:type="dxa"/>
              <w:bottom w:w="70" w:type="dxa"/>
              <w:right w:w="110" w:type="dxa"/>
            </w:tcMar>
            <w:vAlign w:val="center"/>
          </w:tcPr>
          <w:p w14:paraId="4C8DDE3D" w14:textId="77777777" w:rsidR="009A05A0" w:rsidRDefault="009A05A0" w:rsidP="007E288C">
            <w:pPr>
              <w:spacing w:after="40"/>
            </w:pPr>
            <w:r>
              <w:rPr>
                <w:b/>
                <w:bCs/>
                <w:color w:val="FFFFFF"/>
                <w:sz w:val="18"/>
                <w:szCs w:val="18"/>
              </w:rPr>
              <w:t>Ex-China (May 2026, Argus-derived)</w:t>
            </w:r>
          </w:p>
        </w:tc>
        <w:tc>
          <w:tcPr>
            <w:tcW w:w="1760" w:type="dxa"/>
            <w:tcBorders>
              <w:top w:val="single" w:sz="2" w:space="0" w:color="B7C3CC"/>
              <w:left w:val="single" w:sz="2" w:space="0" w:color="B7C3CC"/>
              <w:bottom w:val="single" w:sz="2" w:space="0" w:color="B7C3CC"/>
              <w:right w:val="single" w:sz="2" w:space="0" w:color="B7C3CC"/>
            </w:tcBorders>
            <w:shd w:val="clear" w:color="auto" w:fill="1F3A52"/>
            <w:tcMar>
              <w:top w:w="70" w:type="dxa"/>
              <w:left w:w="110" w:type="dxa"/>
              <w:bottom w:w="70" w:type="dxa"/>
              <w:right w:w="110" w:type="dxa"/>
            </w:tcMar>
            <w:vAlign w:val="center"/>
          </w:tcPr>
          <w:p w14:paraId="79939F47" w14:textId="77777777" w:rsidR="009A05A0" w:rsidRDefault="009A05A0" w:rsidP="007E288C">
            <w:pPr>
              <w:spacing w:after="40"/>
            </w:pPr>
            <w:r>
              <w:rPr>
                <w:b/>
                <w:bCs/>
                <w:color w:val="FFFFFF"/>
                <w:sz w:val="18"/>
                <w:szCs w:val="18"/>
              </w:rPr>
              <w:t>QP long-term base deck</w:t>
            </w:r>
          </w:p>
        </w:tc>
      </w:tr>
      <w:tr w:rsidR="009A05A0" w14:paraId="03AF82BF" w14:textId="77777777" w:rsidTr="007E288C">
        <w:tblPrEx>
          <w:tblCellMar>
            <w:top w:w="0" w:type="dxa"/>
            <w:bottom w:w="0" w:type="dxa"/>
          </w:tblCellMar>
        </w:tblPrEx>
        <w:tc>
          <w:tcPr>
            <w:tcW w:w="16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06F2BA10" w14:textId="77777777" w:rsidR="009A05A0" w:rsidRDefault="009A05A0" w:rsidP="007E288C">
            <w:pPr>
              <w:spacing w:after="40"/>
            </w:pPr>
            <w:r>
              <w:rPr>
                <w:b/>
                <w:bCs/>
                <w:sz w:val="18"/>
                <w:szCs w:val="18"/>
              </w:rPr>
              <w:t>Nd₂O₃</w:t>
            </w:r>
          </w:p>
        </w:tc>
        <w:tc>
          <w:tcPr>
            <w:tcW w:w="23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28D8AF43" w14:textId="77777777" w:rsidR="009A05A0" w:rsidRDefault="009A05A0" w:rsidP="007E288C">
            <w:pPr>
              <w:spacing w:after="40"/>
            </w:pPr>
            <w:r>
              <w:rPr>
                <w:sz w:val="18"/>
                <w:szCs w:val="18"/>
              </w:rPr>
              <w:t>US$117/kg</w:t>
            </w:r>
          </w:p>
        </w:tc>
        <w:tc>
          <w:tcPr>
            <w:tcW w:w="23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1BC860B4" w14:textId="77777777" w:rsidR="009A05A0" w:rsidRDefault="009A05A0" w:rsidP="007E288C">
            <w:pPr>
              <w:spacing w:after="40"/>
            </w:pPr>
            <w:r>
              <w:rPr>
                <w:sz w:val="18"/>
                <w:szCs w:val="18"/>
              </w:rPr>
              <w:t>≈US$128–140/kg (Apr peak)</w:t>
            </w:r>
          </w:p>
        </w:tc>
        <w:tc>
          <w:tcPr>
            <w:tcW w:w="24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7132982E" w14:textId="77777777" w:rsidR="009A05A0" w:rsidRDefault="009A05A0" w:rsidP="007E288C">
            <w:pPr>
              <w:spacing w:after="40"/>
            </w:pPr>
            <w:r>
              <w:rPr>
                <w:sz w:val="18"/>
                <w:szCs w:val="18"/>
              </w:rPr>
              <w:t>Not separately assessed</w:t>
            </w:r>
          </w:p>
        </w:tc>
        <w:tc>
          <w:tcPr>
            <w:tcW w:w="176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3D04FECB" w14:textId="77777777" w:rsidR="009A05A0" w:rsidRDefault="009A05A0" w:rsidP="007E288C">
            <w:pPr>
              <w:spacing w:after="40"/>
            </w:pPr>
            <w:r>
              <w:rPr>
                <w:sz w:val="18"/>
                <w:szCs w:val="18"/>
              </w:rPr>
              <w:t>US$120/kg</w:t>
            </w:r>
          </w:p>
        </w:tc>
      </w:tr>
      <w:tr w:rsidR="009A05A0" w14:paraId="7E0B47DE" w14:textId="77777777" w:rsidTr="007E288C">
        <w:tblPrEx>
          <w:tblCellMar>
            <w:top w:w="0" w:type="dxa"/>
            <w:bottom w:w="0" w:type="dxa"/>
          </w:tblCellMar>
        </w:tblPrEx>
        <w:tc>
          <w:tcPr>
            <w:tcW w:w="16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7F379A6C" w14:textId="77777777" w:rsidR="009A05A0" w:rsidRDefault="009A05A0" w:rsidP="007E288C">
            <w:pPr>
              <w:spacing w:after="40"/>
            </w:pPr>
            <w:r>
              <w:rPr>
                <w:b/>
                <w:bCs/>
                <w:sz w:val="18"/>
                <w:szCs w:val="18"/>
              </w:rPr>
              <w:t>Pr₆O₁₁</w:t>
            </w:r>
          </w:p>
        </w:tc>
        <w:tc>
          <w:tcPr>
            <w:tcW w:w="23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132C148D" w14:textId="77777777" w:rsidR="009A05A0" w:rsidRDefault="009A05A0" w:rsidP="007E288C">
            <w:pPr>
              <w:spacing w:after="40"/>
            </w:pPr>
            <w:r>
              <w:rPr>
                <w:sz w:val="18"/>
                <w:szCs w:val="18"/>
              </w:rPr>
              <w:t>NdPr basis</w:t>
            </w:r>
          </w:p>
        </w:tc>
        <w:tc>
          <w:tcPr>
            <w:tcW w:w="23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1D1D2DAE" w14:textId="77777777" w:rsidR="009A05A0" w:rsidRDefault="009A05A0" w:rsidP="007E288C">
            <w:pPr>
              <w:spacing w:after="40"/>
            </w:pPr>
            <w:r>
              <w:rPr>
                <w:sz w:val="18"/>
                <w:szCs w:val="18"/>
              </w:rPr>
              <w:t>US$136–140/kg (NdPr, Apr)</w:t>
            </w:r>
          </w:p>
        </w:tc>
        <w:tc>
          <w:tcPr>
            <w:tcW w:w="24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036E387E" w14:textId="77777777" w:rsidR="009A05A0" w:rsidRDefault="009A05A0" w:rsidP="007E288C">
            <w:pPr>
              <w:spacing w:after="40"/>
            </w:pPr>
            <w:r>
              <w:rPr>
                <w:sz w:val="18"/>
                <w:szCs w:val="18"/>
              </w:rPr>
              <w:t>—</w:t>
            </w:r>
          </w:p>
        </w:tc>
        <w:tc>
          <w:tcPr>
            <w:tcW w:w="176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3679E9CE" w14:textId="77777777" w:rsidR="009A05A0" w:rsidRDefault="009A05A0" w:rsidP="007E288C">
            <w:pPr>
              <w:spacing w:after="40"/>
            </w:pPr>
            <w:r>
              <w:rPr>
                <w:sz w:val="18"/>
                <w:szCs w:val="18"/>
              </w:rPr>
              <w:t>US$120/kg</w:t>
            </w:r>
          </w:p>
        </w:tc>
      </w:tr>
      <w:tr w:rsidR="009A05A0" w14:paraId="5BF72890" w14:textId="77777777" w:rsidTr="007E288C">
        <w:tblPrEx>
          <w:tblCellMar>
            <w:top w:w="0" w:type="dxa"/>
            <w:bottom w:w="0" w:type="dxa"/>
          </w:tblCellMar>
        </w:tblPrEx>
        <w:tc>
          <w:tcPr>
            <w:tcW w:w="16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11D10D28" w14:textId="77777777" w:rsidR="009A05A0" w:rsidRDefault="009A05A0" w:rsidP="007E288C">
            <w:pPr>
              <w:spacing w:after="40"/>
            </w:pPr>
            <w:r>
              <w:rPr>
                <w:b/>
                <w:bCs/>
                <w:sz w:val="18"/>
                <w:szCs w:val="18"/>
              </w:rPr>
              <w:t>Tb₄O₇</w:t>
            </w:r>
          </w:p>
        </w:tc>
        <w:tc>
          <w:tcPr>
            <w:tcW w:w="23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1BF2749A" w14:textId="77777777" w:rsidR="009A05A0" w:rsidRDefault="009A05A0" w:rsidP="007E288C">
            <w:pPr>
              <w:spacing w:after="40"/>
            </w:pPr>
            <w:r>
              <w:rPr>
                <w:sz w:val="18"/>
                <w:szCs w:val="18"/>
              </w:rPr>
              <w:t>US$804/kg</w:t>
            </w:r>
          </w:p>
        </w:tc>
        <w:tc>
          <w:tcPr>
            <w:tcW w:w="23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3F6FECD8" w14:textId="77777777" w:rsidR="009A05A0" w:rsidRDefault="009A05A0" w:rsidP="007E288C">
            <w:pPr>
              <w:spacing w:after="40"/>
            </w:pPr>
            <w:r>
              <w:rPr>
                <w:sz w:val="18"/>
                <w:szCs w:val="18"/>
              </w:rPr>
              <w:t>US$1,182/kg (FOB)</w:t>
            </w:r>
          </w:p>
        </w:tc>
        <w:tc>
          <w:tcPr>
            <w:tcW w:w="24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43DDFD73" w14:textId="77777777" w:rsidR="009A05A0" w:rsidRDefault="009A05A0" w:rsidP="007E288C">
            <w:pPr>
              <w:spacing w:after="40"/>
            </w:pPr>
            <w:r>
              <w:rPr>
                <w:sz w:val="18"/>
                <w:szCs w:val="18"/>
              </w:rPr>
              <w:t>≈US$4,500/kg</w:t>
            </w:r>
          </w:p>
        </w:tc>
        <w:tc>
          <w:tcPr>
            <w:tcW w:w="176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3650FC98" w14:textId="77777777" w:rsidR="009A05A0" w:rsidRDefault="009A05A0" w:rsidP="007E288C">
            <w:pPr>
              <w:spacing w:after="40"/>
            </w:pPr>
            <w:r>
              <w:rPr>
                <w:sz w:val="18"/>
                <w:szCs w:val="18"/>
              </w:rPr>
              <w:t>US$1,100/kg</w:t>
            </w:r>
          </w:p>
        </w:tc>
      </w:tr>
      <w:tr w:rsidR="009A05A0" w14:paraId="7F809570" w14:textId="77777777" w:rsidTr="007E288C">
        <w:tblPrEx>
          <w:tblCellMar>
            <w:top w:w="0" w:type="dxa"/>
            <w:bottom w:w="0" w:type="dxa"/>
          </w:tblCellMar>
        </w:tblPrEx>
        <w:tc>
          <w:tcPr>
            <w:tcW w:w="16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33DBF1E2" w14:textId="77777777" w:rsidR="009A05A0" w:rsidRDefault="009A05A0" w:rsidP="007E288C">
            <w:pPr>
              <w:spacing w:after="40"/>
            </w:pPr>
            <w:r>
              <w:rPr>
                <w:b/>
                <w:bCs/>
                <w:sz w:val="18"/>
                <w:szCs w:val="18"/>
              </w:rPr>
              <w:t>Dy₂O₃</w:t>
            </w:r>
          </w:p>
        </w:tc>
        <w:tc>
          <w:tcPr>
            <w:tcW w:w="23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17DB2F37" w14:textId="77777777" w:rsidR="009A05A0" w:rsidRDefault="009A05A0" w:rsidP="007E288C">
            <w:pPr>
              <w:spacing w:after="40"/>
            </w:pPr>
            <w:r>
              <w:rPr>
                <w:sz w:val="18"/>
                <w:szCs w:val="18"/>
              </w:rPr>
              <w:t>US$191/kg</w:t>
            </w:r>
          </w:p>
        </w:tc>
        <w:tc>
          <w:tcPr>
            <w:tcW w:w="23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4EAF08BA" w14:textId="77777777" w:rsidR="009A05A0" w:rsidRDefault="009A05A0" w:rsidP="007E288C">
            <w:pPr>
              <w:spacing w:after="40"/>
            </w:pPr>
            <w:r>
              <w:rPr>
                <w:sz w:val="18"/>
                <w:szCs w:val="18"/>
              </w:rPr>
              <w:t>≈US$220–300/kg (est.)</w:t>
            </w:r>
          </w:p>
        </w:tc>
        <w:tc>
          <w:tcPr>
            <w:tcW w:w="240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2BEEA6CE" w14:textId="77777777" w:rsidR="009A05A0" w:rsidRDefault="009A05A0" w:rsidP="007E288C">
            <w:pPr>
              <w:spacing w:after="40"/>
            </w:pPr>
            <w:r>
              <w:rPr>
                <w:sz w:val="18"/>
                <w:szCs w:val="18"/>
              </w:rPr>
              <w:t>≈US$1,450/kg</w:t>
            </w:r>
          </w:p>
        </w:tc>
        <w:tc>
          <w:tcPr>
            <w:tcW w:w="1760" w:type="dxa"/>
            <w:tcBorders>
              <w:top w:val="single" w:sz="2" w:space="0" w:color="B7C3CC"/>
              <w:left w:val="single" w:sz="2" w:space="0" w:color="B7C3CC"/>
              <w:bottom w:val="single" w:sz="2" w:space="0" w:color="B7C3CC"/>
              <w:right w:val="single" w:sz="2" w:space="0" w:color="B7C3CC"/>
            </w:tcBorders>
            <w:shd w:val="clear" w:color="auto" w:fill="F2F5F8"/>
            <w:tcMar>
              <w:top w:w="70" w:type="dxa"/>
              <w:left w:w="110" w:type="dxa"/>
              <w:bottom w:w="70" w:type="dxa"/>
              <w:right w:w="110" w:type="dxa"/>
            </w:tcMar>
            <w:vAlign w:val="center"/>
          </w:tcPr>
          <w:p w14:paraId="7D820180" w14:textId="77777777" w:rsidR="009A05A0" w:rsidRDefault="009A05A0" w:rsidP="007E288C">
            <w:pPr>
              <w:spacing w:after="40"/>
            </w:pPr>
            <w:r>
              <w:rPr>
                <w:sz w:val="18"/>
                <w:szCs w:val="18"/>
              </w:rPr>
              <w:t>US$300/kg</w:t>
            </w:r>
          </w:p>
        </w:tc>
      </w:tr>
      <w:tr w:rsidR="009A05A0" w14:paraId="236897B0" w14:textId="77777777" w:rsidTr="007E288C">
        <w:tblPrEx>
          <w:tblCellMar>
            <w:top w:w="0" w:type="dxa"/>
            <w:bottom w:w="0" w:type="dxa"/>
          </w:tblCellMar>
        </w:tblPrEx>
        <w:tc>
          <w:tcPr>
            <w:tcW w:w="16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02F1F954" w14:textId="77777777" w:rsidR="009A05A0" w:rsidRDefault="009A05A0" w:rsidP="007E288C">
            <w:pPr>
              <w:spacing w:after="40"/>
            </w:pPr>
            <w:r>
              <w:rPr>
                <w:b/>
                <w:bCs/>
                <w:sz w:val="18"/>
                <w:szCs w:val="18"/>
              </w:rPr>
              <w:t>Y₂O₃</w:t>
            </w:r>
          </w:p>
        </w:tc>
        <w:tc>
          <w:tcPr>
            <w:tcW w:w="23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17F6C6F0" w14:textId="77777777" w:rsidR="009A05A0" w:rsidRDefault="009A05A0" w:rsidP="007E288C">
            <w:pPr>
              <w:spacing w:after="40"/>
            </w:pPr>
            <w:r>
              <w:rPr>
                <w:sz w:val="18"/>
                <w:szCs w:val="18"/>
              </w:rPr>
              <w:t>Trade assessment</w:t>
            </w:r>
          </w:p>
        </w:tc>
        <w:tc>
          <w:tcPr>
            <w:tcW w:w="23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713A9A3D" w14:textId="77777777" w:rsidR="009A05A0" w:rsidRDefault="009A05A0" w:rsidP="007E288C">
            <w:pPr>
              <w:spacing w:after="40"/>
            </w:pPr>
            <w:r>
              <w:rPr>
                <w:sz w:val="18"/>
                <w:szCs w:val="18"/>
              </w:rPr>
              <w:t>—</w:t>
            </w:r>
          </w:p>
        </w:tc>
        <w:tc>
          <w:tcPr>
            <w:tcW w:w="240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703BF7B7" w14:textId="77777777" w:rsidR="009A05A0" w:rsidRDefault="009A05A0" w:rsidP="007E288C">
            <w:pPr>
              <w:spacing w:after="40"/>
            </w:pPr>
            <w:r>
              <w:rPr>
                <w:sz w:val="18"/>
                <w:szCs w:val="18"/>
              </w:rPr>
              <w:t>≈US$1,100/kg (≈140× pre-control)</w:t>
            </w:r>
          </w:p>
        </w:tc>
        <w:tc>
          <w:tcPr>
            <w:tcW w:w="1760" w:type="dxa"/>
            <w:tcBorders>
              <w:top w:val="single" w:sz="2" w:space="0" w:color="B7C3CC"/>
              <w:left w:val="single" w:sz="2" w:space="0" w:color="B7C3CC"/>
              <w:bottom w:val="single" w:sz="2" w:space="0" w:color="B7C3CC"/>
              <w:right w:val="single" w:sz="2" w:space="0" w:color="B7C3CC"/>
            </w:tcBorders>
            <w:tcMar>
              <w:top w:w="70" w:type="dxa"/>
              <w:left w:w="110" w:type="dxa"/>
              <w:bottom w:w="70" w:type="dxa"/>
              <w:right w:w="110" w:type="dxa"/>
            </w:tcMar>
            <w:vAlign w:val="center"/>
          </w:tcPr>
          <w:p w14:paraId="479B145A" w14:textId="77777777" w:rsidR="009A05A0" w:rsidRDefault="009A05A0" w:rsidP="007E288C">
            <w:pPr>
              <w:spacing w:after="40"/>
            </w:pPr>
            <w:r>
              <w:rPr>
                <w:sz w:val="18"/>
                <w:szCs w:val="18"/>
              </w:rPr>
              <w:t>US$8/kg (immaterial at SILA after payability)</w:t>
            </w:r>
          </w:p>
        </w:tc>
      </w:tr>
    </w:tbl>
    <w:p w14:paraId="7E90105A" w14:textId="77777777" w:rsidR="009A05A0" w:rsidRDefault="009A05A0" w:rsidP="009A05A0">
      <w:pPr>
        <w:spacing w:before="80" w:after="200"/>
      </w:pPr>
      <w:r>
        <w:rPr>
          <w:i/>
          <w:iCs/>
          <w:color w:val="444444"/>
          <w:sz w:val="17"/>
          <w:szCs w:val="17"/>
        </w:rPr>
        <w:t>Dislocation prices reflect the absence of exportable supply; they are not a planning basis for any project. The QP long-term base deck is anchored at the DoD floor (US$110), below the Adamas incentive price (~US$150) and within 10% of the most recent published peer-study deck (Wicheeda PFS: US$132.70 for 2030 NdPr).</w:t>
      </w:r>
    </w:p>
    <w:p w14:paraId="77D04F98" w14:textId="77777777" w:rsidR="009A05A0" w:rsidRDefault="009A05A0" w:rsidP="009A05A0">
      <w:pPr>
        <w:pStyle w:val="Heading2"/>
      </w:pPr>
      <w:r>
        <w:t>5.2  Implications for SILA project economics</w:t>
      </w:r>
    </w:p>
    <w:p w14:paraId="0D8A60A6" w14:textId="77777777" w:rsidR="009A05A0" w:rsidRDefault="009A05A0" w:rsidP="009A05A0">
      <w:pPr>
        <w:spacing w:after="160"/>
      </w:pPr>
      <w:r>
        <w:t>SILA’s product is eudialyte concentrate, not separated oxide; the pricing chain runs from contained REO value through an HIMS recovery factor (conceptual, undemonstrated), a per-oxide concentrate payability factor (no term sheets exist), and a basket weighted by the TREO composition of eudialyte-hosted minerals. No basket price can be finalised until a concentrate specification has been produced from locked-cycle testwork and an indicative term sheet has been obtained from a qualified processor. The market context described in this report establishes that the strategic case for SILA’s output has rarely been stronger; the commercial quantification of that strategic case requires the PFS testwork programme to proceed.</w:t>
      </w:r>
    </w:p>
    <w:p w14:paraId="10AA7F79" w14:textId="77777777" w:rsidR="009A05A0" w:rsidRDefault="009A05A0" w:rsidP="009A05A0">
      <w:pPr>
        <w:spacing w:after="160"/>
      </w:pPr>
      <w:r>
        <w:t>The DoD price floor of US$110/kg NdPr is the single most important external reference for SILA’s financial model: it establishes a policy-backed Western downside below which NdPr will not trade for at least ten years from 2025, and it is US$10/kg below the QP’s long-term planning deck, providing a defensible floor for the Low case sensitivity analysis.</w:t>
      </w:r>
    </w:p>
    <w:p w14:paraId="77E8FD26" w14:textId="77777777" w:rsidR="009A05A0" w:rsidRDefault="009A05A0" w:rsidP="009A05A0">
      <w:pPr>
        <w:pStyle w:val="Heading1"/>
      </w:pPr>
      <w:r>
        <w:lastRenderedPageBreak/>
        <w:t>6  Policy Environment: Support for Western REE Development</w:t>
      </w:r>
    </w:p>
    <w:p w14:paraId="4044A3D9" w14:textId="77777777" w:rsidR="009A05A0" w:rsidRDefault="009A05A0" w:rsidP="009A05A0">
      <w:pPr>
        <w:pStyle w:val="Heading2"/>
      </w:pPr>
      <w:r>
        <w:t>6.1  United States</w:t>
      </w:r>
    </w:p>
    <w:p w14:paraId="244E9E37" w14:textId="77777777" w:rsidR="009A05A0" w:rsidRDefault="009A05A0" w:rsidP="009A05A0">
      <w:pPr>
        <w:spacing w:after="160"/>
      </w:pPr>
      <w:r>
        <w:t>The US Inflation Reduction Act, CHIPS Act and Defense Production Act collectively channel investment toward domestic and allied-nation REE supply. The DoD’s equity stake in MP Materials and its price-floor contract represent a new model of government–industry partnership in critical minerals. The National Defence Authorisation Act (FY 2027) is expected to mandate transition away from Chinese-origin REEs in defence supply chains by 2027. Greenland is specifically named in US strategic discussions on critical mineral diversification, with the Trump administration having lobbied in January 2025 against the Chinese acquisition of the Tanbreez project. The Pentagon’s accelerated timeline to develop domestic rare earth processing capacity is described as reflecting national security imperatives that transcend ordinary market economics.</w:t>
      </w:r>
    </w:p>
    <w:p w14:paraId="77186A69" w14:textId="77777777" w:rsidR="009A05A0" w:rsidRDefault="009A05A0" w:rsidP="009A05A0">
      <w:pPr>
        <w:pStyle w:val="Heading2"/>
      </w:pPr>
      <w:r>
        <w:t>6.2  European Union</w:t>
      </w:r>
    </w:p>
    <w:p w14:paraId="7EB73474" w14:textId="77777777" w:rsidR="009A05A0" w:rsidRDefault="009A05A0" w:rsidP="009A05A0">
      <w:pPr>
        <w:spacing w:after="160"/>
      </w:pPr>
      <w:r>
        <w:t xml:space="preserve">The EU Critical Raw Materials Act (CRMA) sets targets of 10% domestic extraction, 40% domestic processing and 25% recycled content for strategic raw materials by 2030, with REE on the priority list. The Commission’s </w:t>
      </w:r>
      <w:proofErr w:type="spellStart"/>
      <w:r>
        <w:t>RESourceEU</w:t>
      </w:r>
      <w:proofErr w:type="spellEnd"/>
      <w:r>
        <w:t xml:space="preserve"> initiative (launched 2025) aims to mobilise approximately €3 billion for mature projects starting by 2029. LKAB’s Per Geijer deposit is Europe’s best domestic REE prospect but is estimated to be a decade from production. Pilot recycling initiatives are at early commercial stage. Europe therefore faces a structural import dependency on REE for its entire EV, wind and defence industrial base, and no single non-Chinese source yet approaches the scale required to close the gap. Greenland, as an EU-associated territory with Western geopolitical alignment, is the most proximate large-scale REE source available to European industry.</w:t>
      </w:r>
    </w:p>
    <w:p w14:paraId="55643F26" w14:textId="77777777" w:rsidR="009A05A0" w:rsidRDefault="009A05A0" w:rsidP="009A05A0">
      <w:pPr>
        <w:pStyle w:val="Heading2"/>
      </w:pPr>
      <w:r>
        <w:t>6.3  Greenland</w:t>
      </w:r>
    </w:p>
    <w:p w14:paraId="01D77C23" w14:textId="77777777" w:rsidR="009A05A0" w:rsidRDefault="009A05A0" w:rsidP="009A05A0">
      <w:pPr>
        <w:spacing w:after="160"/>
      </w:pPr>
      <w:r>
        <w:t>Greenland’s Act on Mineral Activities provides a structured, internationally recognised licensing framework. The MRA and EAMRA oversight system produces licensing decisions that carry political legitimacy domestically and counterparty credibility internationally. The Tanbreez exploitation licence grant demonstrates that the system can produce positive outcomes for REE projects; the Kvanefjeld refusal demonstrates that uranium-intensive projects face a specific political obstacle that SILA, with its low-uranium kakortokite target and dry flowsheet, is structurally designed to avoid. The Impact Benefit Agreement (IBA) requirement, while adding negotiating complexity, embeds the community licence to operate into the formal regulatory structure.</w:t>
      </w:r>
    </w:p>
    <w:p w14:paraId="42C1EA56" w14:textId="77777777" w:rsidR="009A05A0" w:rsidRDefault="009A05A0" w:rsidP="009A05A0">
      <w:pPr>
        <w:pStyle w:val="Heading1"/>
        <w:pageBreakBefore/>
      </w:pPr>
      <w:r>
        <w:lastRenderedPageBreak/>
        <w:t>7  SILA Technology Project: Strategic Positioning in the Global Context</w:t>
      </w:r>
    </w:p>
    <w:p w14:paraId="2447B1C0" w14:textId="77777777" w:rsidR="009A05A0" w:rsidRDefault="009A05A0" w:rsidP="009A05A0">
      <w:pPr>
        <w:pStyle w:val="Heading2"/>
      </w:pPr>
      <w:r>
        <w:t>7.1  What the market context means for SILA</w:t>
      </w:r>
    </w:p>
    <w:p w14:paraId="6D7AC852" w14:textId="77777777" w:rsidR="009A05A0" w:rsidRDefault="009A05A0" w:rsidP="009A05A0">
      <w:pPr>
        <w:spacing w:after="160"/>
      </w:pPr>
      <w:r>
        <w:t>The SILA Technology Project sits at the intersection of four converging forces: accelerating magnet-REE demand, a structurally restricted Chinese export regime, a Western policy consensus mobilising capital for non-Chinese supply, and Greenland’s emergence as the most prominently discussed alternative REE province in either the US or European policy conversation. No single project feature creates competitive advantage in isolation, but SILA’s combination of coastal site (Tunulliarfik Fjord), dry reagent-free flowsheet (low environmental and regulatory risk), low-uranium target rock (kakortokite rather than lujavrite), Greenlandic regulatory compliance pathway (ToR submitted, exploitation licence target within 24 months), and multi-product output (REE, Zr, Nb, feldspar) creates a profile that no other Ilímaussaq project replicates in its entirety.</w:t>
      </w:r>
    </w:p>
    <w:p w14:paraId="1A63ED20" w14:textId="77777777" w:rsidR="009A05A0" w:rsidRDefault="009A05A0" w:rsidP="009A05A0">
      <w:pPr>
        <w:pStyle w:val="Heading2"/>
      </w:pPr>
      <w:r>
        <w:t>7.2  The critical path to value realisation</w:t>
      </w:r>
    </w:p>
    <w:p w14:paraId="068C975B" w14:textId="77777777" w:rsidR="009A05A0" w:rsidRDefault="009A05A0" w:rsidP="009A05A0">
      <w:pPr>
        <w:spacing w:after="160"/>
      </w:pPr>
      <w:r>
        <w:t>The market opportunity described in this report is available to SILA if, and only if, the project advances through its critical-path milestones in the window defined by the statutory permitting sequence. The following are the commercially decisive near-term actions, in order of leverage:</w:t>
      </w:r>
    </w:p>
    <w:p w14:paraId="5A973069" w14:textId="77777777" w:rsidR="009A05A0" w:rsidRDefault="009A05A0" w:rsidP="009A05A0">
      <w:pPr>
        <w:pStyle w:val="ListParagraph"/>
        <w:numPr>
          <w:ilvl w:val="0"/>
          <w:numId w:val="4"/>
        </w:numPr>
        <w:spacing w:after="100" w:line="276" w:lineRule="auto"/>
      </w:pPr>
      <w:r>
        <w:rPr>
          <w:b/>
          <w:bCs/>
          <w:sz w:val="19"/>
          <w:szCs w:val="19"/>
        </w:rPr>
        <w:t xml:space="preserve">MRE within 6 months of ToR approval (critical path). </w:t>
      </w:r>
      <w:r>
        <w:rPr>
          <w:sz w:val="19"/>
          <w:szCs w:val="19"/>
        </w:rPr>
        <w:t>Without a declared Mineral Resource, no financial model, no offtake discussion and no PFS economics are credible. The 2026 drilling programme (Phase 1: T1, 2,000–5,000 m; Phase 2: T2/T3/EALS infill) and independent technical review by the CP/QP are the governing activities. All other milestones follow from here.</w:t>
      </w:r>
    </w:p>
    <w:p w14:paraId="75290861" w14:textId="77777777" w:rsidR="009A05A0" w:rsidRDefault="009A05A0" w:rsidP="009A05A0">
      <w:pPr>
        <w:pStyle w:val="ListParagraph"/>
        <w:numPr>
          <w:ilvl w:val="0"/>
          <w:numId w:val="4"/>
        </w:numPr>
        <w:spacing w:after="100" w:line="276" w:lineRule="auto"/>
      </w:pPr>
      <w:r>
        <w:rPr>
          <w:b/>
          <w:bCs/>
          <w:sz w:val="19"/>
          <w:szCs w:val="19"/>
        </w:rPr>
        <w:t xml:space="preserve">Locked-cycle HIMS testwork and concentrate specification. </w:t>
      </w:r>
      <w:r>
        <w:rPr>
          <w:sz w:val="19"/>
          <w:szCs w:val="19"/>
        </w:rPr>
        <w:t>The most commercially consequential single action available to the project. A SILA-specific concentrate specification — TREO grade, per-oxide composition, Th/U levels, deleterious elements — opens the door to a term-sheet conversation with Neo/Silmet, without which no basket price, payability factor or financial model can be credibly constructed. Mordor Intelligence confirms no eudialyte concentrate has traded commercially; testwork is the only path to changing that.</w:t>
      </w:r>
    </w:p>
    <w:p w14:paraId="42336215" w14:textId="77777777" w:rsidR="009A05A0" w:rsidRDefault="009A05A0" w:rsidP="009A05A0">
      <w:pPr>
        <w:pStyle w:val="ListParagraph"/>
        <w:numPr>
          <w:ilvl w:val="0"/>
          <w:numId w:val="4"/>
        </w:numPr>
        <w:spacing w:after="100" w:line="276" w:lineRule="auto"/>
      </w:pPr>
      <w:r>
        <w:rPr>
          <w:b/>
          <w:bCs/>
          <w:sz w:val="19"/>
          <w:szCs w:val="19"/>
        </w:rPr>
        <w:t xml:space="preserve">Indicative term sheet from Neo/Silmet or equivalent. </w:t>
      </w:r>
      <w:r>
        <w:rPr>
          <w:sz w:val="19"/>
          <w:szCs w:val="19"/>
        </w:rPr>
        <w:t>The market context (US$255/kg CIF Rotterdam NdPr, structural HREE deficit, CRMA targets, no European separator) gives Silmet strong incentive to secure feedstock. A term sheet converts SILA’s market narrative from strategic alignment to commercial evidence, and substantially de-risks the PFS economic evaluation.</w:t>
      </w:r>
    </w:p>
    <w:p w14:paraId="4846883C" w14:textId="77777777" w:rsidR="009A05A0" w:rsidRDefault="009A05A0" w:rsidP="009A05A0">
      <w:pPr>
        <w:pStyle w:val="ListParagraph"/>
        <w:numPr>
          <w:ilvl w:val="0"/>
          <w:numId w:val="4"/>
        </w:numPr>
        <w:spacing w:after="100" w:line="276" w:lineRule="auto"/>
      </w:pPr>
      <w:r>
        <w:rPr>
          <w:b/>
          <w:bCs/>
          <w:sz w:val="19"/>
          <w:szCs w:val="19"/>
        </w:rPr>
        <w:t xml:space="preserve">Exploitation licence application within 24 months of ToR consultation. </w:t>
      </w:r>
      <w:r>
        <w:rPr>
          <w:sz w:val="19"/>
          <w:szCs w:val="19"/>
        </w:rPr>
        <w:t>The statutory window is running from the date of pre-consultation. The Tanbreez precedent demonstrates the system works; the SILA programme (EIA/SIA baseline from Month 4, draft EIA/SIA by Month 16, IBA negotiation Months 21–23, licence Month 24) is achievable if the MRE lands on schedule and the permitting team is resourced.</w:t>
      </w:r>
    </w:p>
    <w:p w14:paraId="54E54002" w14:textId="77777777" w:rsidR="009A05A0" w:rsidRDefault="009A05A0" w:rsidP="009A05A0">
      <w:pPr>
        <w:pStyle w:val="Heading2"/>
      </w:pPr>
      <w:r>
        <w:t>7.3  Risks that the market context does not resolve</w:t>
      </w:r>
    </w:p>
    <w:p w14:paraId="79D5813D" w14:textId="77777777" w:rsidR="009A05A0" w:rsidRDefault="009A05A0" w:rsidP="009A05A0">
      <w:pPr>
        <w:spacing w:after="160"/>
      </w:pPr>
      <w:r>
        <w:t>Strong market narrative does not substitute for technical fundamentals. Three risks remain material regardless of the policy environment:</w:t>
      </w:r>
    </w:p>
    <w:p w14:paraId="0ECBEC50" w14:textId="77777777" w:rsidR="009A05A0" w:rsidRDefault="009A05A0" w:rsidP="009A05A0">
      <w:pPr>
        <w:pStyle w:val="ListParagraph"/>
        <w:numPr>
          <w:ilvl w:val="0"/>
          <w:numId w:val="4"/>
        </w:numPr>
        <w:spacing w:after="100" w:line="276" w:lineRule="auto"/>
      </w:pPr>
      <w:r>
        <w:rPr>
          <w:b/>
          <w:bCs/>
          <w:sz w:val="19"/>
          <w:szCs w:val="19"/>
        </w:rPr>
        <w:t xml:space="preserve">HIMS recovery on SILA ore. </w:t>
      </w:r>
      <w:r>
        <w:rPr>
          <w:sz w:val="19"/>
          <w:szCs w:val="19"/>
        </w:rPr>
        <w:t>Eudialyte is paramagnetic and liberation-sensitive. The dry flowsheet is only advantaged if HIMS achieves acceptable REE recovery at a marketable concentrate grade. No benchmark from another eudialyte project directly applies; testwork is the only source of evidence.</w:t>
      </w:r>
    </w:p>
    <w:p w14:paraId="00DC7EF8" w14:textId="77777777" w:rsidR="009A05A0" w:rsidRPr="009A05A0" w:rsidRDefault="009A05A0" w:rsidP="009A05A0">
      <w:pPr>
        <w:pStyle w:val="ListParagraph"/>
        <w:pageBreakBefore/>
        <w:numPr>
          <w:ilvl w:val="0"/>
          <w:numId w:val="4"/>
        </w:numPr>
        <w:spacing w:after="100" w:line="276" w:lineRule="auto"/>
      </w:pPr>
      <w:r w:rsidRPr="009A05A0">
        <w:rPr>
          <w:b/>
          <w:bCs/>
          <w:sz w:val="19"/>
          <w:szCs w:val="19"/>
        </w:rPr>
        <w:lastRenderedPageBreak/>
        <w:t xml:space="preserve">Processor capacity and eudialyte cracking. </w:t>
      </w:r>
      <w:r w:rsidRPr="009A05A0">
        <w:rPr>
          <w:sz w:val="19"/>
          <w:szCs w:val="19"/>
        </w:rPr>
        <w:t>Even if SILA produces a specification-compliant concentrate, the number of processors globally with eudialyte cracking experience is extremely limited. Single-counterparty commercial dependency on Silmet (or equivalent) is a concentration risk that the PFS must address explicitly through marketing samples, indicative terms, and a secondary processor assessment.</w:t>
      </w:r>
    </w:p>
    <w:p w14:paraId="5B1C0C9E" w14:textId="52D99957" w:rsidR="009A05A0" w:rsidRPr="00C7479C" w:rsidRDefault="009A05A0" w:rsidP="009A05A0">
      <w:pPr>
        <w:pStyle w:val="ListParagraph"/>
        <w:pageBreakBefore/>
        <w:numPr>
          <w:ilvl w:val="0"/>
          <w:numId w:val="4"/>
        </w:numPr>
        <w:spacing w:after="100" w:line="276" w:lineRule="auto"/>
      </w:pPr>
      <w:r w:rsidRPr="009A05A0">
        <w:rPr>
          <w:b/>
          <w:bCs/>
          <w:sz w:val="19"/>
          <w:szCs w:val="19"/>
        </w:rPr>
        <w:lastRenderedPageBreak/>
        <w:t xml:space="preserve">Uranium in lujavrite overburden. </w:t>
      </w:r>
      <w:r w:rsidRPr="009A05A0">
        <w:rPr>
          <w:sz w:val="19"/>
          <w:szCs w:val="19"/>
        </w:rPr>
        <w:t>The Kvanefjeld refusal is the defining regulatory precedent in the Ilímaussaq Complex. SILA’s ToR identifies lowermost lujavrite at approximately 50 ppm U as an overburden consideration. Waste classification, segregated handling and EIA treatment are required. The dry flowsheet and kakortokite targeting substantially reduce the uranium surface area; the EIA must demonstrate the distinction from Kvanefjeld conclusively.</w:t>
      </w:r>
    </w:p>
    <w:p w14:paraId="5E1CE170" w14:textId="77777777" w:rsidR="009A05A0" w:rsidRDefault="009A05A0" w:rsidP="009A05A0">
      <w:pPr>
        <w:pStyle w:val="Heading1"/>
      </w:pPr>
      <w:r>
        <w:t>8  Conclusions</w:t>
      </w:r>
    </w:p>
    <w:p w14:paraId="15016FF0" w14:textId="77777777" w:rsidR="009A05A0" w:rsidRDefault="009A05A0" w:rsidP="009A05A0">
      <w:pPr>
        <w:spacing w:after="160"/>
      </w:pPr>
      <w:r>
        <w:t>The global REE market in mid-2026 presents a confluence of demand acceleration, Chinese export restriction, and Western policy mobilisation that has not existed before at this intensity. NdPr has gained 160% year-to-date; heavy REEs face ex-China dislocation prices 4–5× normal levels; the DoD has committed to a 10-year price floor; the EU is mobilising €3 billion for critical mineral projects; and Greenland is explicitly named in strategic supply chain discussions in both Washington and Brussels.</w:t>
      </w:r>
    </w:p>
    <w:p w14:paraId="73301364" w14:textId="77777777" w:rsidR="009A05A0" w:rsidRDefault="009A05A0" w:rsidP="009A05A0">
      <w:pPr>
        <w:spacing w:after="160"/>
      </w:pPr>
      <w:r>
        <w:t>SILA is well-positioned within this context: it is in the right geological system (Ilímaussaq, world-class endowment), in the right jurisdiction (Greenland, Western-aligned, EU-associated, stable governance), with the right flowsheet concept (dry, reagent-free, low environmental profile), advancing under the right regulatory framework (ToR submitted, 24-month pathway to exploitation licence), at the right moment (market narrative at its strongest since 2011, but with structural rather than speculative drivers this time).</w:t>
      </w:r>
    </w:p>
    <w:p w14:paraId="1664CEEE" w14:textId="77777777" w:rsidR="009A05A0" w:rsidRDefault="009A05A0" w:rsidP="009A05A0">
      <w:pPr>
        <w:spacing w:after="160"/>
      </w:pPr>
      <w:r>
        <w:t>The critical path runs through the MRE, the metallurgical testwork and the term sheet — in that order, and the market cannot substitute for any of them. A project that enters the CRMA and DoD funding windows with a declared Mineral Resource, a characterised concentrate specification and an indicative offtake term sheet from a European separator will be competing for capital in a fundamentally different environment than one that enters with market narrative alone.</w:t>
      </w:r>
    </w:p>
    <w:p w14:paraId="34632DA5" w14:textId="77777777" w:rsidR="009A05A0" w:rsidRDefault="009A05A0" w:rsidP="009A05A0">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A05A0" w14:paraId="18709AA4" w14:textId="77777777" w:rsidTr="007E288C">
        <w:tblPrEx>
          <w:tblCellMar>
            <w:top w:w="0" w:type="dxa"/>
            <w:bottom w:w="0" w:type="dxa"/>
          </w:tblCellMar>
        </w:tblPrEx>
        <w:tc>
          <w:tcPr>
            <w:tcW w:w="9360" w:type="dxa"/>
            <w:tcBorders>
              <w:top w:val="single" w:sz="4" w:space="0" w:color="1F3A52"/>
              <w:left w:val="single" w:sz="18" w:space="0" w:color="1F3A52"/>
              <w:bottom w:val="single" w:sz="4" w:space="0" w:color="1F3A52"/>
              <w:right w:val="single" w:sz="4" w:space="0" w:color="1F3A52"/>
            </w:tcBorders>
            <w:shd w:val="clear" w:color="auto" w:fill="EDF2F7"/>
            <w:tcMar>
              <w:top w:w="110" w:type="dxa"/>
              <w:left w:w="160" w:type="dxa"/>
              <w:bottom w:w="110" w:type="dxa"/>
              <w:right w:w="160" w:type="dxa"/>
            </w:tcMar>
          </w:tcPr>
          <w:p w14:paraId="5BDADAB9" w14:textId="77777777" w:rsidR="009A05A0" w:rsidRDefault="009A05A0" w:rsidP="007E288C">
            <w:pPr>
              <w:spacing w:after="60"/>
            </w:pPr>
            <w:r>
              <w:rPr>
                <w:b/>
                <w:bCs/>
                <w:color w:val="1F3A52"/>
                <w:sz w:val="19"/>
                <w:szCs w:val="19"/>
              </w:rPr>
              <w:t>QP OPINION MKT-1</w:t>
            </w:r>
          </w:p>
          <w:p w14:paraId="7605C57E" w14:textId="77777777" w:rsidR="009A05A0" w:rsidRDefault="009A05A0" w:rsidP="007E288C">
            <w:pPr>
              <w:spacing w:after="60"/>
            </w:pPr>
            <w:r>
              <w:rPr>
                <w:i/>
                <w:iCs/>
                <w:sz w:val="19"/>
                <w:szCs w:val="19"/>
              </w:rPr>
              <w:t xml:space="preserve">I have spent more than sixty years watching markets cycle through </w:t>
            </w:r>
            <w:proofErr w:type="spellStart"/>
            <w:r>
              <w:rPr>
                <w:i/>
                <w:iCs/>
                <w:sz w:val="19"/>
                <w:szCs w:val="19"/>
              </w:rPr>
              <w:t>supercycles</w:t>
            </w:r>
            <w:proofErr w:type="spellEnd"/>
            <w:r>
              <w:rPr>
                <w:i/>
                <w:iCs/>
                <w:sz w:val="19"/>
                <w:szCs w:val="19"/>
              </w:rPr>
              <w:t>, and the 2025–2026 REE episode has structural features that previous cycles did not. The 2011 spike was Chinese supply manipulation followed by rapid normalisation as substitution and efficiency improvements cut demand. The 2022 spike was geopolitical anticipation followed by demand disappointment. This episode is different in two ways: the demand really is there (22.9 million EVs in 2026, offshore wind accelerating, no viable NdFeB substitute), and the supply constraint is structural rather than speculative (no Western HREE separation at commercial scale, not even in mid-2026). That does not make this a permanent plateau — markets never are — but it does mean the window for SILA to establish its resource base and reach commercial agreements is a real one, and the cost of missing it by 18 months is measured in market share and negotiating position, not just revenue timing.</w:t>
            </w:r>
          </w:p>
          <w:p w14:paraId="56766E41" w14:textId="77777777" w:rsidR="009A05A0" w:rsidRDefault="009A05A0" w:rsidP="007E288C">
            <w:r>
              <w:rPr>
                <w:b/>
                <w:bCs/>
                <w:sz w:val="18"/>
                <w:szCs w:val="18"/>
              </w:rPr>
              <w:t>— Malcolm Castle, MAusIMM (CP Geo), Qualified Person</w:t>
            </w:r>
          </w:p>
        </w:tc>
      </w:tr>
    </w:tbl>
    <w:p w14:paraId="32E9560D" w14:textId="77777777" w:rsidR="009A05A0" w:rsidRDefault="009A05A0" w:rsidP="009A05A0">
      <w:pPr>
        <w:spacing w:after="160"/>
      </w:pPr>
    </w:p>
    <w:p w14:paraId="3C970DB6" w14:textId="77777777" w:rsidR="009A05A0" w:rsidRDefault="009A05A0" w:rsidP="009A05A0">
      <w:pPr>
        <w:pStyle w:val="Heading1"/>
        <w:pageBreakBefore/>
      </w:pPr>
      <w:r>
        <w:lastRenderedPageBreak/>
        <w:t>Sources</w:t>
      </w:r>
    </w:p>
    <w:p w14:paraId="09F5C28E" w14:textId="77777777" w:rsidR="009A05A0" w:rsidRDefault="009A05A0" w:rsidP="009A05A0">
      <w:pPr>
        <w:pStyle w:val="ListParagraph"/>
        <w:numPr>
          <w:ilvl w:val="0"/>
          <w:numId w:val="4"/>
        </w:numPr>
        <w:spacing w:after="100" w:line="276" w:lineRule="auto"/>
      </w:pPr>
      <w:r>
        <w:t>Mordor Intelligence — Rare Earth Elements Market Analysis (January 2026 update): market size, growth, segmentation, competitive landscape and regulatory analysis.</w:t>
      </w:r>
    </w:p>
    <w:p w14:paraId="34358758" w14:textId="77777777" w:rsidR="009A05A0" w:rsidRDefault="009A05A0" w:rsidP="009A05A0">
      <w:pPr>
        <w:pStyle w:val="ListParagraph"/>
        <w:numPr>
          <w:ilvl w:val="0"/>
          <w:numId w:val="4"/>
        </w:numPr>
        <w:spacing w:after="100" w:line="276" w:lineRule="auto"/>
      </w:pPr>
      <w:r>
        <w:t>Adamas Intelligence — NdPr incentive price analysis (~US$150/kg) and long-term price projections; international NdPr assessment US$128.75/kg (March 2026).</w:t>
      </w:r>
    </w:p>
    <w:p w14:paraId="049618EF" w14:textId="77777777" w:rsidR="009A05A0" w:rsidRDefault="009A05A0" w:rsidP="009A05A0">
      <w:pPr>
        <w:pStyle w:val="ListParagraph"/>
        <w:numPr>
          <w:ilvl w:val="0"/>
          <w:numId w:val="4"/>
        </w:numPr>
        <w:spacing w:after="100" w:line="276" w:lineRule="auto"/>
      </w:pPr>
      <w:r>
        <w:t>S&amp;P Global — “Rare earth supply bottlenecks set to persist in 2026” (27 January 2026): ex-China HREE market bottleneck through 2026–2027.</w:t>
      </w:r>
    </w:p>
    <w:p w14:paraId="0D4733C3" w14:textId="77777777" w:rsidR="009A05A0" w:rsidRDefault="009A05A0" w:rsidP="009A05A0">
      <w:pPr>
        <w:pStyle w:val="ListParagraph"/>
        <w:numPr>
          <w:ilvl w:val="0"/>
          <w:numId w:val="4"/>
        </w:numPr>
        <w:spacing w:after="100" w:line="276" w:lineRule="auto"/>
      </w:pPr>
      <w:r>
        <w:t>Reuters (Jackson, Martina, Chen, 13 May 2026) — “Trump, Xi to weigh rare earth truce extension”: HREE export volumes ~50% below pre-control levels; selective licensing; Japan at ~4% of prior Dy imports.</w:t>
      </w:r>
    </w:p>
    <w:p w14:paraId="7F997662" w14:textId="77777777" w:rsidR="009A05A0" w:rsidRDefault="009A05A0" w:rsidP="009A05A0">
      <w:pPr>
        <w:pStyle w:val="ListParagraph"/>
        <w:numPr>
          <w:ilvl w:val="0"/>
          <w:numId w:val="4"/>
        </w:numPr>
        <w:spacing w:after="100" w:line="276" w:lineRule="auto"/>
      </w:pPr>
      <w:r>
        <w:t>Oregon Group — Critical Minerals and Energy Intelligence (10 June 2026): ex-China Argus-based assessments; Tb ~US$4,500/kg, Dy ~US$1,450/kg, Y ~US$1,100/kg.</w:t>
      </w:r>
    </w:p>
    <w:p w14:paraId="3D5F96CC" w14:textId="77777777" w:rsidR="009A05A0" w:rsidRDefault="009A05A0" w:rsidP="009A05A0">
      <w:pPr>
        <w:pStyle w:val="ListParagraph"/>
        <w:numPr>
          <w:ilvl w:val="0"/>
          <w:numId w:val="4"/>
        </w:numPr>
        <w:spacing w:after="100" w:line="276" w:lineRule="auto"/>
      </w:pPr>
      <w:r>
        <w:t>Rare Earth Mining — market outlook April and May 2026: NdPr rally and correction detail; CIF Rotterdam US$255/kg; deficit into second year; MIIT quota analysis.</w:t>
      </w:r>
    </w:p>
    <w:p w14:paraId="1728DA11" w14:textId="77777777" w:rsidR="009A05A0" w:rsidRDefault="009A05A0" w:rsidP="009A05A0">
      <w:pPr>
        <w:pStyle w:val="ListParagraph"/>
        <w:numPr>
          <w:ilvl w:val="0"/>
          <w:numId w:val="4"/>
        </w:numPr>
        <w:spacing w:after="100" w:line="276" w:lineRule="auto"/>
      </w:pPr>
      <w:r>
        <w:t>Critical Minerals News — “Rare Earth Price 2026”: CRIA benchmark data; three-tier price structure; DoD-backed floor; Lynas overview.</w:t>
      </w:r>
    </w:p>
    <w:p w14:paraId="15427C5F" w14:textId="77777777" w:rsidR="009A05A0" w:rsidRDefault="009A05A0" w:rsidP="009A05A0">
      <w:pPr>
        <w:pStyle w:val="ListParagraph"/>
        <w:numPr>
          <w:ilvl w:val="0"/>
          <w:numId w:val="4"/>
        </w:numPr>
        <w:spacing w:after="100" w:line="276" w:lineRule="auto"/>
      </w:pPr>
      <w:r>
        <w:t>Main Rich International — “Rare Earth Market Update June 2026”: correction within uptrend; humanoid robotics demand; China holding quotas flat.</w:t>
      </w:r>
    </w:p>
    <w:p w14:paraId="32A9F2D9" w14:textId="77777777" w:rsidR="009A05A0" w:rsidRDefault="009A05A0" w:rsidP="009A05A0">
      <w:pPr>
        <w:pStyle w:val="ListParagraph"/>
        <w:numPr>
          <w:ilvl w:val="0"/>
          <w:numId w:val="4"/>
        </w:numPr>
        <w:spacing w:after="100" w:line="276" w:lineRule="auto"/>
      </w:pPr>
      <w:r>
        <w:t>CSIS — “Greenland, Rare Earths and Arctic Security” (28 January 2026): US strategic context; Trump administration policy; bilateral agreements.</w:t>
      </w:r>
    </w:p>
    <w:p w14:paraId="3CD63A5C" w14:textId="77777777" w:rsidR="009A05A0" w:rsidRDefault="009A05A0" w:rsidP="009A05A0">
      <w:pPr>
        <w:pStyle w:val="ListParagraph"/>
        <w:numPr>
          <w:ilvl w:val="0"/>
          <w:numId w:val="4"/>
        </w:numPr>
        <w:spacing w:after="100" w:line="276" w:lineRule="auto"/>
      </w:pPr>
      <w:r>
        <w:t>Wood Mackenzie — “The 3 challenges to exploiting Greenland’s rare earths” (28 January 2026): US–EU financing cooperation; Chinese shareholding in ETM.</w:t>
      </w:r>
    </w:p>
    <w:p w14:paraId="0189B8DD" w14:textId="77777777" w:rsidR="009A05A0" w:rsidRDefault="009A05A0" w:rsidP="009A05A0">
      <w:pPr>
        <w:pStyle w:val="ListParagraph"/>
        <w:numPr>
          <w:ilvl w:val="0"/>
          <w:numId w:val="4"/>
        </w:numPr>
        <w:spacing w:after="100" w:line="276" w:lineRule="auto"/>
      </w:pPr>
      <w:r>
        <w:t>Atlantic Council — “Greenland’s critical minerals require patient statecraft” (13 January 2026): Tanbreez and Ilímaussaq; infrastructure deficit; no large-scale operating critical mineral mines in Greenland.</w:t>
      </w:r>
    </w:p>
    <w:p w14:paraId="1B8596CE" w14:textId="77777777" w:rsidR="009A05A0" w:rsidRDefault="009A05A0" w:rsidP="009A05A0">
      <w:pPr>
        <w:pStyle w:val="ListParagraph"/>
        <w:numPr>
          <w:ilvl w:val="0"/>
          <w:numId w:val="4"/>
        </w:numPr>
        <w:spacing w:after="100" w:line="276" w:lineRule="auto"/>
      </w:pPr>
      <w:r>
        <w:t xml:space="preserve">Euronews — “Is Europe losing the race to secure rare earth materials?” (20 January 2026): CRMA ambitions vs on-the-ground projects; </w:t>
      </w:r>
      <w:proofErr w:type="spellStart"/>
      <w:r>
        <w:t>RESourceEU</w:t>
      </w:r>
      <w:proofErr w:type="spellEnd"/>
      <w:r>
        <w:t xml:space="preserve"> €3 billion initiative; Per Geijer a decade away.</w:t>
      </w:r>
    </w:p>
    <w:p w14:paraId="6EF7303B" w14:textId="77777777" w:rsidR="009A05A0" w:rsidRDefault="009A05A0" w:rsidP="009A05A0">
      <w:pPr>
        <w:pStyle w:val="ListParagraph"/>
        <w:numPr>
          <w:ilvl w:val="0"/>
          <w:numId w:val="4"/>
        </w:numPr>
        <w:spacing w:after="100" w:line="276" w:lineRule="auto"/>
      </w:pPr>
      <w:r>
        <w:t>The World Data — “Greenland Rare Earth Minerals Statistics 2026”: reserve ranking; Ilímaussaq complex potential; Gardar province.</w:t>
      </w:r>
    </w:p>
    <w:p w14:paraId="1C023325" w14:textId="77777777" w:rsidR="009A05A0" w:rsidRDefault="009A05A0" w:rsidP="009A05A0">
      <w:pPr>
        <w:pStyle w:val="ListParagraph"/>
        <w:numPr>
          <w:ilvl w:val="0"/>
          <w:numId w:val="4"/>
        </w:numPr>
        <w:spacing w:after="100" w:line="276" w:lineRule="auto"/>
      </w:pPr>
      <w:r>
        <w:t>Crux Investor — “China’s export controls and the repricing of supply chains”: HREE supply vacuum; Western separation timeline; graphite-exports pattern precedent.</w:t>
      </w:r>
    </w:p>
    <w:p w14:paraId="1B70DD4C" w14:textId="77777777" w:rsidR="009A05A0" w:rsidRDefault="009A05A0" w:rsidP="009A05A0">
      <w:pPr>
        <w:pStyle w:val="ListParagraph"/>
        <w:numPr>
          <w:ilvl w:val="0"/>
          <w:numId w:val="4"/>
        </w:numPr>
        <w:spacing w:after="100" w:line="276" w:lineRule="auto"/>
      </w:pPr>
      <w:r>
        <w:t>Rare Earth Exchanges — “China’s 2026 export controls redraw the global supply chain map” (23 April 2026): 90% Chinese processing share; 6× price spikes; game-theory analysis; 20–30 year rebuild timeline.</w:t>
      </w:r>
    </w:p>
    <w:p w14:paraId="53E671B1" w14:textId="77777777" w:rsidR="009A05A0" w:rsidRDefault="009A05A0" w:rsidP="009A05A0">
      <w:pPr>
        <w:pStyle w:val="ListParagraph"/>
        <w:numPr>
          <w:ilvl w:val="0"/>
          <w:numId w:val="4"/>
        </w:numPr>
        <w:spacing w:after="100" w:line="276" w:lineRule="auto"/>
      </w:pPr>
      <w:r>
        <w:t>Project documents: SILA Technology Project Terms of Reference v3 (Rimbal Pty Ltd, 21 April 2026); SILA PFS Non-NIRAS Consultant Sections — Scope and Requirements Summary (SILA-PFS-NON-NIRAS-001, May 2026); Agricola Mining Consultants, Sarfartoq IAR supporting notes (June 2026).</w:t>
      </w:r>
    </w:p>
    <w:sectPr w:rsidR="009A05A0">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A80B4" w14:textId="77777777" w:rsidR="00273086" w:rsidRDefault="00273086">
      <w:r>
        <w:separator/>
      </w:r>
    </w:p>
  </w:endnote>
  <w:endnote w:type="continuationSeparator" w:id="0">
    <w:p w14:paraId="5A567A1E" w14:textId="77777777" w:rsidR="00273086" w:rsidRDefault="00273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3320E" w14:textId="77777777" w:rsidR="00713291" w:rsidRDefault="00000000">
    <w:pPr>
      <w:pBdr>
        <w:top w:val="single" w:sz="4" w:space="2" w:color="D6E4F0"/>
      </w:pBdr>
      <w:tabs>
        <w:tab w:val="right" w:pos="9360"/>
      </w:tabs>
    </w:pPr>
    <w:r>
      <w:rPr>
        <w:color w:val="555555"/>
        <w:sz w:val="15"/>
        <w:szCs w:val="15"/>
      </w:rPr>
      <w:t>Confidential — draft for discussion • 14 June 2026</w:t>
    </w:r>
    <w:r>
      <w:rPr>
        <w:color w:val="555555"/>
        <w:sz w:val="15"/>
        <w:szCs w:val="15"/>
      </w:rPr>
      <w:tab/>
      <w:t xml:space="preserve">Page </w:t>
    </w:r>
    <w:r>
      <w:rPr>
        <w:color w:val="555555"/>
        <w:sz w:val="15"/>
        <w:szCs w:val="15"/>
      </w:rPr>
      <w:fldChar w:fldCharType="begin"/>
    </w:r>
    <w:r>
      <w:rPr>
        <w:color w:val="555555"/>
        <w:sz w:val="15"/>
        <w:szCs w:val="15"/>
      </w:rPr>
      <w:instrText>PAGE</w:instrText>
    </w:r>
    <w:r>
      <w:rPr>
        <w:color w:val="555555"/>
        <w:sz w:val="15"/>
        <w:szCs w:val="15"/>
      </w:rPr>
      <w:fldChar w:fldCharType="separate"/>
    </w:r>
    <w:r w:rsidR="009A05A0">
      <w:rPr>
        <w:noProof/>
        <w:color w:val="555555"/>
        <w:sz w:val="15"/>
        <w:szCs w:val="15"/>
      </w:rPr>
      <w:t>1</w:t>
    </w:r>
    <w:r>
      <w:rPr>
        <w:color w:val="555555"/>
        <w:sz w:val="15"/>
        <w:szCs w:val="15"/>
      </w:rPr>
      <w:fldChar w:fldCharType="end"/>
    </w:r>
    <w:r>
      <w:rPr>
        <w:color w:val="555555"/>
        <w:sz w:val="15"/>
        <w:szCs w:val="15"/>
      </w:rPr>
      <w:t xml:space="preserve"> of </w:t>
    </w:r>
    <w:r>
      <w:rPr>
        <w:color w:val="555555"/>
        <w:sz w:val="15"/>
        <w:szCs w:val="15"/>
      </w:rPr>
      <w:fldChar w:fldCharType="begin"/>
    </w:r>
    <w:r>
      <w:rPr>
        <w:color w:val="555555"/>
        <w:sz w:val="15"/>
        <w:szCs w:val="15"/>
      </w:rPr>
      <w:instrText>NUMPAGES</w:instrText>
    </w:r>
    <w:r>
      <w:rPr>
        <w:color w:val="555555"/>
        <w:sz w:val="15"/>
        <w:szCs w:val="15"/>
      </w:rPr>
      <w:fldChar w:fldCharType="separate"/>
    </w:r>
    <w:r w:rsidR="009A05A0">
      <w:rPr>
        <w:noProof/>
        <w:color w:val="555555"/>
        <w:sz w:val="15"/>
        <w:szCs w:val="15"/>
      </w:rPr>
      <w:t>2</w:t>
    </w:r>
    <w:r>
      <w:rPr>
        <w:color w:val="555555"/>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7718A" w14:textId="77777777" w:rsidR="00273086" w:rsidRDefault="00273086">
      <w:r>
        <w:separator/>
      </w:r>
    </w:p>
  </w:footnote>
  <w:footnote w:type="continuationSeparator" w:id="0">
    <w:p w14:paraId="00582DA2" w14:textId="77777777" w:rsidR="00273086" w:rsidRDefault="00273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3836" w14:textId="77777777" w:rsidR="00713291" w:rsidRDefault="00000000">
    <w:pPr>
      <w:pBdr>
        <w:bottom w:val="single" w:sz="4" w:space="2" w:color="D6E4F0"/>
      </w:pBdr>
      <w:tabs>
        <w:tab w:val="right" w:pos="9360"/>
      </w:tabs>
    </w:pPr>
    <w:r>
      <w:rPr>
        <w:b/>
        <w:bCs/>
        <w:color w:val="1B3A5C"/>
        <w:sz w:val="16"/>
        <w:szCs w:val="16"/>
      </w:rPr>
      <w:t>Agricola Mining Consultants</w:t>
    </w:r>
    <w:r>
      <w:rPr>
        <w:i/>
        <w:iCs/>
        <w:color w:val="555555"/>
        <w:sz w:val="16"/>
        <w:szCs w:val="16"/>
      </w:rPr>
      <w:tab/>
      <w:t>Attu Rare Earth Prospect — Investor Discussion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15DA0"/>
    <w:multiLevelType w:val="hybridMultilevel"/>
    <w:tmpl w:val="08A8695A"/>
    <w:lvl w:ilvl="0" w:tplc="38987E64">
      <w:start w:val="1"/>
      <w:numFmt w:val="bullet"/>
      <w:lvlText w:val="•"/>
      <w:lvlJc w:val="left"/>
      <w:pPr>
        <w:ind w:left="540" w:hanging="280"/>
      </w:pPr>
    </w:lvl>
    <w:lvl w:ilvl="1" w:tplc="6A1E5D34">
      <w:numFmt w:val="decimal"/>
      <w:lvlText w:val=""/>
      <w:lvlJc w:val="left"/>
    </w:lvl>
    <w:lvl w:ilvl="2" w:tplc="FF46A6DC">
      <w:numFmt w:val="decimal"/>
      <w:lvlText w:val=""/>
      <w:lvlJc w:val="left"/>
    </w:lvl>
    <w:lvl w:ilvl="3" w:tplc="C082B580">
      <w:numFmt w:val="decimal"/>
      <w:lvlText w:val=""/>
      <w:lvlJc w:val="left"/>
    </w:lvl>
    <w:lvl w:ilvl="4" w:tplc="72A6A46C">
      <w:numFmt w:val="decimal"/>
      <w:lvlText w:val=""/>
      <w:lvlJc w:val="left"/>
    </w:lvl>
    <w:lvl w:ilvl="5" w:tplc="35B2607E">
      <w:numFmt w:val="decimal"/>
      <w:lvlText w:val=""/>
      <w:lvlJc w:val="left"/>
    </w:lvl>
    <w:lvl w:ilvl="6" w:tplc="2E1C399A">
      <w:numFmt w:val="decimal"/>
      <w:lvlText w:val=""/>
      <w:lvlJc w:val="left"/>
    </w:lvl>
    <w:lvl w:ilvl="7" w:tplc="1CDC6FEE">
      <w:numFmt w:val="decimal"/>
      <w:lvlText w:val=""/>
      <w:lvlJc w:val="left"/>
    </w:lvl>
    <w:lvl w:ilvl="8" w:tplc="6AF0131E">
      <w:numFmt w:val="decimal"/>
      <w:lvlText w:val=""/>
      <w:lvlJc w:val="left"/>
    </w:lvl>
  </w:abstractNum>
  <w:abstractNum w:abstractNumId="1" w15:restartNumberingAfterBreak="0">
    <w:nsid w:val="54F91014"/>
    <w:multiLevelType w:val="hybridMultilevel"/>
    <w:tmpl w:val="E3442F1A"/>
    <w:lvl w:ilvl="0" w:tplc="41548516">
      <w:start w:val="1"/>
      <w:numFmt w:val="bullet"/>
      <w:lvlText w:val="•"/>
      <w:lvlJc w:val="left"/>
      <w:pPr>
        <w:ind w:left="460" w:hanging="230"/>
      </w:pPr>
    </w:lvl>
    <w:lvl w:ilvl="1" w:tplc="08F61C30">
      <w:numFmt w:val="decimal"/>
      <w:lvlText w:val=""/>
      <w:lvlJc w:val="left"/>
    </w:lvl>
    <w:lvl w:ilvl="2" w:tplc="D7BE15B4">
      <w:numFmt w:val="decimal"/>
      <w:lvlText w:val=""/>
      <w:lvlJc w:val="left"/>
    </w:lvl>
    <w:lvl w:ilvl="3" w:tplc="F4D083A2">
      <w:numFmt w:val="decimal"/>
      <w:lvlText w:val=""/>
      <w:lvlJc w:val="left"/>
    </w:lvl>
    <w:lvl w:ilvl="4" w:tplc="5738842A">
      <w:numFmt w:val="decimal"/>
      <w:lvlText w:val=""/>
      <w:lvlJc w:val="left"/>
    </w:lvl>
    <w:lvl w:ilvl="5" w:tplc="C3C86CEE">
      <w:numFmt w:val="decimal"/>
      <w:lvlText w:val=""/>
      <w:lvlJc w:val="left"/>
    </w:lvl>
    <w:lvl w:ilvl="6" w:tplc="42FE70A4">
      <w:numFmt w:val="decimal"/>
      <w:lvlText w:val=""/>
      <w:lvlJc w:val="left"/>
    </w:lvl>
    <w:lvl w:ilvl="7" w:tplc="BB5AF338">
      <w:numFmt w:val="decimal"/>
      <w:lvlText w:val=""/>
      <w:lvlJc w:val="left"/>
    </w:lvl>
    <w:lvl w:ilvl="8" w:tplc="464AFFB8">
      <w:numFmt w:val="decimal"/>
      <w:lvlText w:val=""/>
      <w:lvlJc w:val="left"/>
    </w:lvl>
  </w:abstractNum>
  <w:abstractNum w:abstractNumId="2" w15:restartNumberingAfterBreak="0">
    <w:nsid w:val="69360E53"/>
    <w:multiLevelType w:val="hybridMultilevel"/>
    <w:tmpl w:val="88C47290"/>
    <w:lvl w:ilvl="0" w:tplc="A0AC701C">
      <w:start w:val="1"/>
      <w:numFmt w:val="bullet"/>
      <w:lvlText w:val="●"/>
      <w:lvlJc w:val="left"/>
      <w:pPr>
        <w:ind w:left="720" w:hanging="360"/>
      </w:pPr>
    </w:lvl>
    <w:lvl w:ilvl="1" w:tplc="6DF26EAA">
      <w:start w:val="1"/>
      <w:numFmt w:val="bullet"/>
      <w:lvlText w:val="○"/>
      <w:lvlJc w:val="left"/>
      <w:pPr>
        <w:ind w:left="1440" w:hanging="360"/>
      </w:pPr>
    </w:lvl>
    <w:lvl w:ilvl="2" w:tplc="CF044870">
      <w:start w:val="1"/>
      <w:numFmt w:val="bullet"/>
      <w:lvlText w:val="■"/>
      <w:lvlJc w:val="left"/>
      <w:pPr>
        <w:ind w:left="2160" w:hanging="360"/>
      </w:pPr>
    </w:lvl>
    <w:lvl w:ilvl="3" w:tplc="4CF47DAE">
      <w:start w:val="1"/>
      <w:numFmt w:val="bullet"/>
      <w:lvlText w:val="●"/>
      <w:lvlJc w:val="left"/>
      <w:pPr>
        <w:ind w:left="2880" w:hanging="360"/>
      </w:pPr>
    </w:lvl>
    <w:lvl w:ilvl="4" w:tplc="13B8DB44">
      <w:start w:val="1"/>
      <w:numFmt w:val="bullet"/>
      <w:lvlText w:val="○"/>
      <w:lvlJc w:val="left"/>
      <w:pPr>
        <w:ind w:left="3600" w:hanging="360"/>
      </w:pPr>
    </w:lvl>
    <w:lvl w:ilvl="5" w:tplc="6368F312">
      <w:start w:val="1"/>
      <w:numFmt w:val="bullet"/>
      <w:lvlText w:val="■"/>
      <w:lvlJc w:val="left"/>
      <w:pPr>
        <w:ind w:left="4320" w:hanging="360"/>
      </w:pPr>
    </w:lvl>
    <w:lvl w:ilvl="6" w:tplc="B9046AD8">
      <w:start w:val="1"/>
      <w:numFmt w:val="bullet"/>
      <w:lvlText w:val="●"/>
      <w:lvlJc w:val="left"/>
      <w:pPr>
        <w:ind w:left="5040" w:hanging="360"/>
      </w:pPr>
    </w:lvl>
    <w:lvl w:ilvl="7" w:tplc="52CCF608">
      <w:start w:val="1"/>
      <w:numFmt w:val="bullet"/>
      <w:lvlText w:val="●"/>
      <w:lvlJc w:val="left"/>
      <w:pPr>
        <w:ind w:left="5760" w:hanging="360"/>
      </w:pPr>
    </w:lvl>
    <w:lvl w:ilvl="8" w:tplc="50AAF766">
      <w:start w:val="1"/>
      <w:numFmt w:val="bullet"/>
      <w:lvlText w:val="●"/>
      <w:lvlJc w:val="left"/>
      <w:pPr>
        <w:ind w:left="6480" w:hanging="360"/>
      </w:pPr>
    </w:lvl>
  </w:abstractNum>
  <w:abstractNum w:abstractNumId="3" w15:restartNumberingAfterBreak="0">
    <w:nsid w:val="7B314F6B"/>
    <w:multiLevelType w:val="hybridMultilevel"/>
    <w:tmpl w:val="0A04A5A4"/>
    <w:lvl w:ilvl="0" w:tplc="12C6BC38">
      <w:start w:val="1"/>
      <w:numFmt w:val="decimal"/>
      <w:lvlText w:val="%1."/>
      <w:lvlJc w:val="left"/>
      <w:pPr>
        <w:ind w:left="540" w:hanging="300"/>
      </w:pPr>
    </w:lvl>
    <w:lvl w:ilvl="1" w:tplc="453EF0B2">
      <w:numFmt w:val="decimal"/>
      <w:lvlText w:val=""/>
      <w:lvlJc w:val="left"/>
    </w:lvl>
    <w:lvl w:ilvl="2" w:tplc="98C8BA12">
      <w:numFmt w:val="decimal"/>
      <w:lvlText w:val=""/>
      <w:lvlJc w:val="left"/>
    </w:lvl>
    <w:lvl w:ilvl="3" w:tplc="DBB417E4">
      <w:numFmt w:val="decimal"/>
      <w:lvlText w:val=""/>
      <w:lvlJc w:val="left"/>
    </w:lvl>
    <w:lvl w:ilvl="4" w:tplc="CC1CDF28">
      <w:numFmt w:val="decimal"/>
      <w:lvlText w:val=""/>
      <w:lvlJc w:val="left"/>
    </w:lvl>
    <w:lvl w:ilvl="5" w:tplc="86CE0C12">
      <w:numFmt w:val="decimal"/>
      <w:lvlText w:val=""/>
      <w:lvlJc w:val="left"/>
    </w:lvl>
    <w:lvl w:ilvl="6" w:tplc="69928814">
      <w:numFmt w:val="decimal"/>
      <w:lvlText w:val=""/>
      <w:lvlJc w:val="left"/>
    </w:lvl>
    <w:lvl w:ilvl="7" w:tplc="EA0EAE42">
      <w:numFmt w:val="decimal"/>
      <w:lvlText w:val=""/>
      <w:lvlJc w:val="left"/>
    </w:lvl>
    <w:lvl w:ilvl="8" w:tplc="8B76C37A">
      <w:numFmt w:val="decimal"/>
      <w:lvlText w:val=""/>
      <w:lvlJc w:val="left"/>
    </w:lvl>
  </w:abstractNum>
  <w:num w:numId="1" w16cid:durableId="332953337">
    <w:abstractNumId w:val="2"/>
    <w:lvlOverride w:ilvl="0">
      <w:startOverride w:val="1"/>
    </w:lvlOverride>
  </w:num>
  <w:num w:numId="2" w16cid:durableId="123080729">
    <w:abstractNumId w:val="0"/>
    <w:lvlOverride w:ilvl="0">
      <w:startOverride w:val="1"/>
    </w:lvlOverride>
  </w:num>
  <w:num w:numId="3" w16cid:durableId="1904485825">
    <w:abstractNumId w:val="3"/>
    <w:lvlOverride w:ilvl="0">
      <w:startOverride w:val="1"/>
    </w:lvlOverride>
  </w:num>
  <w:num w:numId="4" w16cid:durableId="120312706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91"/>
    <w:rsid w:val="00273086"/>
    <w:rsid w:val="005D4552"/>
    <w:rsid w:val="00713291"/>
    <w:rsid w:val="009A05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E7DB9FB"/>
  <w15:docId w15:val="{FFCC3F37-655A-DE4F-A3E2-7432FF0CC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1"/>
        <w:szCs w:val="21"/>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2E75B6"/>
      </w:pBdr>
      <w:spacing w:before="300" w:after="140"/>
      <w:outlineLvl w:val="0"/>
    </w:pPr>
    <w:rPr>
      <w:b/>
      <w:bCs/>
      <w:color w:val="1B3A5C"/>
      <w:sz w:val="30"/>
      <w:szCs w:val="30"/>
    </w:rPr>
  </w:style>
  <w:style w:type="paragraph" w:styleId="Heading2">
    <w:name w:val="heading 2"/>
    <w:uiPriority w:val="9"/>
    <w:unhideWhenUsed/>
    <w:qFormat/>
    <w:pPr>
      <w:spacing w:before="220" w:after="100"/>
      <w:outlineLvl w:val="1"/>
    </w:pPr>
    <w:rPr>
      <w:b/>
      <w:bCs/>
      <w:color w:val="2E75B6"/>
      <w:sz w:val="25"/>
      <w:szCs w:val="25"/>
    </w:rPr>
  </w:style>
  <w:style w:type="paragraph" w:styleId="Heading3">
    <w:name w:val="heading 3"/>
    <w:uiPriority w:val="9"/>
    <w:unhideWhenUsed/>
    <w:qFormat/>
    <w:pPr>
      <w:spacing w:before="160" w:after="80"/>
      <w:outlineLvl w:val="2"/>
    </w:pPr>
    <w:rPr>
      <w:b/>
      <w:bCs/>
      <w:color w:val="2D6A4F"/>
      <w:sz w:val="22"/>
      <w:szCs w:val="2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8908</Words>
  <Characters>50781</Characters>
  <Application>Microsoft Office Word</Application>
  <DocSecurity>0</DocSecurity>
  <Lines>423</Lines>
  <Paragraphs>119</Paragraphs>
  <ScaleCrop>false</ScaleCrop>
  <Company/>
  <LinksUpToDate>false</LinksUpToDate>
  <CharactersWithSpaces>59570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Attu Rare Earth Prospect — Independent Technical Overview</dc:title>
  <dc:creator>Agricola Mining Consultants Pty Ltd</dc:creator>
  <cp:lastModifiedBy>Sue Castle</cp:lastModifiedBy>
  <cp:revision>2</cp:revision>
  <dcterms:created xsi:type="dcterms:W3CDTF">2026-06-15T10:52:00Z</dcterms:created>
  <dcterms:modified xsi:type="dcterms:W3CDTF">2026-06-15T10:52:00Z</dcterms:modified>
</cp:coreProperties>
</file>